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Ind w:w="108" w:type="dxa"/>
        <w:tblLook w:val="04A0" w:firstRow="1" w:lastRow="0" w:firstColumn="1" w:lastColumn="0" w:noHBand="0" w:noVBand="1"/>
      </w:tblPr>
      <w:tblGrid>
        <w:gridCol w:w="2937"/>
        <w:gridCol w:w="6017"/>
      </w:tblGrid>
      <w:tr w:rsidR="00AC54DE" w:rsidRPr="00BC2929" w:rsidTr="00853733">
        <w:tc>
          <w:tcPr>
            <w:tcW w:w="297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b/>
                <w:sz w:val="22"/>
                <w:szCs w:val="24"/>
              </w:rPr>
            </w:pPr>
            <w:r w:rsidRPr="00954442">
              <w:rPr>
                <w:rFonts w:asciiTheme="minorHAnsi" w:hAnsiTheme="minorHAnsi"/>
                <w:b/>
                <w:sz w:val="22"/>
                <w:szCs w:val="24"/>
              </w:rPr>
              <w:t>Name/E-Mail:</w:t>
            </w:r>
          </w:p>
        </w:tc>
        <w:tc>
          <w:tcPr>
            <w:tcW w:w="612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sz w:val="22"/>
                <w:szCs w:val="24"/>
                <w:lang w:val="en-US"/>
              </w:rPr>
            </w:pPr>
            <w:bookmarkStart w:id="0" w:name="_GoBack"/>
            <w:r w:rsidRPr="00954442">
              <w:rPr>
                <w:rFonts w:asciiTheme="minorHAnsi" w:hAnsiTheme="minorHAnsi"/>
                <w:sz w:val="22"/>
                <w:szCs w:val="24"/>
                <w:lang w:val="en-US"/>
              </w:rPr>
              <w:t xml:space="preserve">Andreas </w:t>
            </w:r>
            <w:proofErr w:type="spellStart"/>
            <w:r w:rsidRPr="00954442">
              <w:rPr>
                <w:rFonts w:asciiTheme="minorHAnsi" w:hAnsiTheme="minorHAnsi"/>
                <w:sz w:val="22"/>
                <w:szCs w:val="24"/>
                <w:lang w:val="en-US"/>
              </w:rPr>
              <w:t>Hufangl</w:t>
            </w:r>
            <w:proofErr w:type="spellEnd"/>
            <w:r w:rsidRPr="00954442">
              <w:rPr>
                <w:rFonts w:asciiTheme="minorHAnsi" w:hAnsiTheme="minorHAnsi"/>
                <w:sz w:val="22"/>
                <w:szCs w:val="24"/>
                <w:lang w:val="en-US"/>
              </w:rPr>
              <w:t xml:space="preserve"> </w:t>
            </w:r>
            <w:bookmarkEnd w:id="0"/>
            <w:r w:rsidRPr="00954442">
              <w:rPr>
                <w:rFonts w:asciiTheme="minorHAnsi" w:hAnsiTheme="minorHAnsi"/>
                <w:sz w:val="22"/>
                <w:szCs w:val="24"/>
                <w:lang w:val="en-US"/>
              </w:rPr>
              <w:t>(</w:t>
            </w:r>
            <w:hyperlink r:id="rId7" w:history="1">
              <w:r w:rsidRPr="00954442">
                <w:rPr>
                  <w:rStyle w:val="Hyperlink"/>
                  <w:rFonts w:asciiTheme="minorHAnsi" w:hAnsiTheme="minorHAnsi"/>
                  <w:sz w:val="22"/>
                  <w:szCs w:val="24"/>
                  <w:lang w:val="en-US"/>
                </w:rPr>
                <w:t>hufnaglan@stud.sbg.ac.at</w:t>
              </w:r>
            </w:hyperlink>
            <w:r w:rsidRPr="00954442">
              <w:rPr>
                <w:rFonts w:asciiTheme="minorHAnsi" w:hAnsiTheme="minorHAnsi"/>
                <w:sz w:val="22"/>
                <w:szCs w:val="24"/>
                <w:lang w:val="en-US"/>
              </w:rPr>
              <w:t>)</w:t>
            </w:r>
          </w:p>
        </w:tc>
      </w:tr>
      <w:tr w:rsidR="00AC54DE" w:rsidRPr="00954442" w:rsidTr="00853733">
        <w:tc>
          <w:tcPr>
            <w:tcW w:w="297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b/>
                <w:sz w:val="22"/>
                <w:szCs w:val="24"/>
              </w:rPr>
            </w:pPr>
            <w:r w:rsidRPr="00954442">
              <w:rPr>
                <w:rFonts w:asciiTheme="minorHAnsi" w:hAnsiTheme="minorHAnsi"/>
                <w:b/>
                <w:sz w:val="22"/>
                <w:szCs w:val="24"/>
              </w:rPr>
              <w:t>laufende Nr.:</w:t>
            </w:r>
          </w:p>
        </w:tc>
        <w:tc>
          <w:tcPr>
            <w:tcW w:w="612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BC2929">
            <w:pPr>
              <w:rPr>
                <w:rFonts w:asciiTheme="minorHAnsi" w:hAnsiTheme="minorHAnsi"/>
                <w:sz w:val="22"/>
                <w:szCs w:val="24"/>
              </w:rPr>
            </w:pPr>
            <w:r w:rsidRPr="00954442">
              <w:rPr>
                <w:rFonts w:asciiTheme="minorHAnsi" w:hAnsiTheme="minorHAnsi"/>
                <w:sz w:val="22"/>
                <w:szCs w:val="24"/>
              </w:rPr>
              <w:t>S16 GW5A 0</w:t>
            </w:r>
            <w:r>
              <w:rPr>
                <w:rFonts w:asciiTheme="minorHAnsi" w:hAnsiTheme="minorHAnsi"/>
                <w:sz w:val="22"/>
                <w:szCs w:val="24"/>
              </w:rPr>
              <w:t>2</w:t>
            </w:r>
          </w:p>
        </w:tc>
      </w:tr>
      <w:tr w:rsidR="00AC54DE" w:rsidRPr="00954442" w:rsidTr="00853733">
        <w:tc>
          <w:tcPr>
            <w:tcW w:w="297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b/>
                <w:sz w:val="22"/>
                <w:szCs w:val="24"/>
              </w:rPr>
            </w:pPr>
            <w:r w:rsidRPr="00954442">
              <w:rPr>
                <w:rFonts w:asciiTheme="minorHAnsi" w:hAnsiTheme="minorHAnsi"/>
                <w:b/>
                <w:sz w:val="22"/>
                <w:szCs w:val="24"/>
              </w:rPr>
              <w:t>Klasse:</w:t>
            </w:r>
          </w:p>
        </w:tc>
        <w:tc>
          <w:tcPr>
            <w:tcW w:w="612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sz w:val="22"/>
                <w:szCs w:val="24"/>
              </w:rPr>
            </w:pPr>
            <w:r w:rsidRPr="00954442">
              <w:rPr>
                <w:rFonts w:asciiTheme="minorHAnsi" w:hAnsiTheme="minorHAnsi"/>
                <w:sz w:val="22"/>
                <w:szCs w:val="24"/>
              </w:rPr>
              <w:t>5. Klasse</w:t>
            </w:r>
          </w:p>
        </w:tc>
      </w:tr>
      <w:tr w:rsidR="00AC54DE" w:rsidRPr="00954442" w:rsidTr="00853733">
        <w:tc>
          <w:tcPr>
            <w:tcW w:w="297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b/>
                <w:sz w:val="22"/>
                <w:szCs w:val="24"/>
              </w:rPr>
            </w:pPr>
            <w:r w:rsidRPr="00954442">
              <w:rPr>
                <w:rFonts w:asciiTheme="minorHAnsi" w:hAnsiTheme="minorHAnsi"/>
                <w:b/>
                <w:sz w:val="22"/>
                <w:szCs w:val="24"/>
              </w:rPr>
              <w:t>Lehrplankapitel:</w:t>
            </w:r>
          </w:p>
        </w:tc>
        <w:tc>
          <w:tcPr>
            <w:tcW w:w="612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sz w:val="22"/>
                <w:szCs w:val="24"/>
              </w:rPr>
            </w:pPr>
            <w:r w:rsidRPr="00954442">
              <w:rPr>
                <w:rFonts w:asciiTheme="minorHAnsi" w:hAnsiTheme="minorHAnsi"/>
                <w:sz w:val="22"/>
                <w:szCs w:val="24"/>
              </w:rPr>
              <w:t>Gliederungsprinzipien der Erde nach unterschiedlichen Sichtweisen</w:t>
            </w:r>
          </w:p>
        </w:tc>
      </w:tr>
      <w:tr w:rsidR="00AC54DE" w:rsidRPr="00954442" w:rsidTr="00853733">
        <w:tc>
          <w:tcPr>
            <w:tcW w:w="297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b/>
                <w:sz w:val="22"/>
                <w:szCs w:val="24"/>
              </w:rPr>
            </w:pPr>
            <w:r w:rsidRPr="00954442">
              <w:rPr>
                <w:rFonts w:asciiTheme="minorHAnsi" w:hAnsiTheme="minorHAnsi"/>
                <w:b/>
                <w:sz w:val="22"/>
                <w:szCs w:val="24"/>
              </w:rPr>
              <w:t>Richtlernziel des Lehrplans:</w:t>
            </w:r>
          </w:p>
        </w:tc>
        <w:tc>
          <w:tcPr>
            <w:tcW w:w="612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sz w:val="22"/>
                <w:szCs w:val="24"/>
              </w:rPr>
            </w:pPr>
            <w:r w:rsidRPr="00954442">
              <w:rPr>
                <w:rFonts w:asciiTheme="minorHAnsi" w:hAnsiTheme="minorHAnsi"/>
                <w:sz w:val="22"/>
                <w:szCs w:val="24"/>
              </w:rPr>
              <w:t>Gliederungsmöglichkeiten der Erde (naturräumlich, kulturell, politisch, etc.)</w:t>
            </w:r>
          </w:p>
        </w:tc>
      </w:tr>
      <w:tr w:rsidR="00AC54DE" w:rsidRPr="00954442" w:rsidTr="00853733">
        <w:tc>
          <w:tcPr>
            <w:tcW w:w="297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853733">
            <w:pPr>
              <w:rPr>
                <w:rFonts w:asciiTheme="minorHAnsi" w:hAnsiTheme="minorHAnsi"/>
                <w:b/>
                <w:sz w:val="22"/>
                <w:szCs w:val="24"/>
              </w:rPr>
            </w:pPr>
            <w:r w:rsidRPr="00954442">
              <w:rPr>
                <w:rFonts w:asciiTheme="minorHAnsi" w:hAnsiTheme="minorHAnsi"/>
                <w:b/>
                <w:sz w:val="22"/>
                <w:szCs w:val="24"/>
              </w:rPr>
              <w:t>Titel:</w:t>
            </w:r>
          </w:p>
        </w:tc>
        <w:tc>
          <w:tcPr>
            <w:tcW w:w="6127" w:type="dxa"/>
            <w:tcBorders>
              <w:top w:val="single" w:sz="4" w:space="0" w:color="auto"/>
              <w:left w:val="single" w:sz="4" w:space="0" w:color="auto"/>
              <w:bottom w:val="single" w:sz="4" w:space="0" w:color="auto"/>
              <w:right w:val="single" w:sz="4" w:space="0" w:color="auto"/>
            </w:tcBorders>
            <w:hideMark/>
          </w:tcPr>
          <w:p w:rsidR="00AC54DE" w:rsidRPr="00954442" w:rsidRDefault="00AC54DE" w:rsidP="00AC54DE">
            <w:pPr>
              <w:rPr>
                <w:rFonts w:asciiTheme="minorHAnsi" w:hAnsiTheme="minorHAnsi"/>
                <w:sz w:val="22"/>
                <w:szCs w:val="24"/>
              </w:rPr>
            </w:pPr>
            <w:r w:rsidRPr="00AC54DE">
              <w:rPr>
                <w:rFonts w:asciiTheme="minorHAnsi" w:hAnsiTheme="minorHAnsi"/>
                <w:sz w:val="22"/>
                <w:szCs w:val="24"/>
              </w:rPr>
              <w:t>Alternative Klassifikation der Erde</w:t>
            </w:r>
          </w:p>
        </w:tc>
      </w:tr>
    </w:tbl>
    <w:p w:rsidR="00AC54DE" w:rsidRDefault="00AC54DE" w:rsidP="00AC54DE"/>
    <w:p w:rsidR="00AC54DE" w:rsidRPr="00954442" w:rsidRDefault="00AC54DE" w:rsidP="00AC54DE">
      <w:pPr>
        <w:spacing w:line="360" w:lineRule="auto"/>
        <w:rPr>
          <w:rFonts w:eastAsia="Times New Roman" w:cs="Tahoma"/>
          <w:b/>
          <w:szCs w:val="20"/>
          <w:lang w:eastAsia="de-AT"/>
        </w:rPr>
      </w:pPr>
      <w:r w:rsidRPr="00954442">
        <w:rPr>
          <w:rFonts w:eastAsia="Times New Roman" w:cs="Tahoma"/>
          <w:b/>
          <w:szCs w:val="20"/>
          <w:lang w:eastAsia="de-AT"/>
        </w:rPr>
        <w:t xml:space="preserve">Unterrichtsinhalte: </w:t>
      </w:r>
    </w:p>
    <w:p w:rsidR="00AC54DE" w:rsidRDefault="00AC54DE" w:rsidP="00AC54DE">
      <w:pPr>
        <w:pStyle w:val="Listenabsatz"/>
        <w:numPr>
          <w:ilvl w:val="0"/>
          <w:numId w:val="2"/>
        </w:numPr>
        <w:spacing w:line="360" w:lineRule="auto"/>
        <w:rPr>
          <w:rFonts w:eastAsia="Times New Roman" w:cs="Tahoma"/>
          <w:szCs w:val="20"/>
          <w:lang w:eastAsia="de-AT"/>
        </w:rPr>
      </w:pPr>
      <w:r>
        <w:rPr>
          <w:rFonts w:eastAsia="Times New Roman" w:cs="Tahoma"/>
          <w:szCs w:val="20"/>
          <w:lang w:eastAsia="de-AT"/>
        </w:rPr>
        <w:t>Begriffsbestimmung HDI</w:t>
      </w:r>
    </w:p>
    <w:p w:rsidR="00AC54DE" w:rsidRDefault="00AC54DE" w:rsidP="00AC54DE">
      <w:pPr>
        <w:pStyle w:val="Listenabsatz"/>
        <w:numPr>
          <w:ilvl w:val="0"/>
          <w:numId w:val="2"/>
        </w:numPr>
        <w:spacing w:line="360" w:lineRule="auto"/>
        <w:rPr>
          <w:rFonts w:eastAsia="Times New Roman" w:cs="Tahoma"/>
          <w:szCs w:val="20"/>
          <w:lang w:eastAsia="de-AT"/>
        </w:rPr>
      </w:pPr>
      <w:r>
        <w:rPr>
          <w:rFonts w:eastAsia="Times New Roman" w:cs="Tahoma"/>
          <w:szCs w:val="20"/>
          <w:lang w:eastAsia="de-AT"/>
        </w:rPr>
        <w:t>Parameter und Auswirkungen</w:t>
      </w:r>
    </w:p>
    <w:p w:rsidR="00AC54DE" w:rsidRDefault="00AC54DE" w:rsidP="00AC54DE">
      <w:pPr>
        <w:pStyle w:val="Listenabsatz"/>
        <w:numPr>
          <w:ilvl w:val="0"/>
          <w:numId w:val="2"/>
        </w:numPr>
        <w:spacing w:line="360" w:lineRule="auto"/>
        <w:rPr>
          <w:rFonts w:eastAsia="Times New Roman" w:cs="Tahoma"/>
          <w:szCs w:val="20"/>
          <w:lang w:eastAsia="de-AT"/>
        </w:rPr>
      </w:pPr>
      <w:r>
        <w:rPr>
          <w:rFonts w:eastAsia="Times New Roman" w:cs="Tahoma"/>
          <w:szCs w:val="20"/>
          <w:lang w:eastAsia="de-AT"/>
        </w:rPr>
        <w:t>HDI als alternative Klassifikation der Erde</w:t>
      </w:r>
    </w:p>
    <w:p w:rsidR="00AC54DE" w:rsidRDefault="00AC54DE" w:rsidP="00AC54DE">
      <w:pPr>
        <w:pStyle w:val="Listenabsatz"/>
        <w:numPr>
          <w:ilvl w:val="0"/>
          <w:numId w:val="2"/>
        </w:numPr>
        <w:spacing w:line="360" w:lineRule="auto"/>
        <w:rPr>
          <w:rFonts w:eastAsia="Times New Roman" w:cs="Tahoma"/>
          <w:szCs w:val="20"/>
          <w:lang w:eastAsia="de-AT"/>
        </w:rPr>
      </w:pPr>
      <w:r>
        <w:rPr>
          <w:rFonts w:eastAsia="Times New Roman" w:cs="Tahoma"/>
          <w:szCs w:val="20"/>
          <w:lang w:eastAsia="de-AT"/>
        </w:rPr>
        <w:t>Was bedeutet der HDI?</w:t>
      </w:r>
    </w:p>
    <w:p w:rsidR="00AC54DE" w:rsidRPr="00AC54DE" w:rsidRDefault="00AC54DE" w:rsidP="00AC54DE">
      <w:pPr>
        <w:pStyle w:val="Listenabsatz"/>
        <w:spacing w:line="360" w:lineRule="auto"/>
        <w:rPr>
          <w:rFonts w:eastAsia="Times New Roman" w:cs="Tahoma"/>
          <w:szCs w:val="20"/>
          <w:lang w:eastAsia="de-AT"/>
        </w:rPr>
      </w:pPr>
    </w:p>
    <w:p w:rsidR="00AC54DE" w:rsidRPr="00954442" w:rsidRDefault="00AC54DE" w:rsidP="00AC54DE">
      <w:pPr>
        <w:spacing w:line="360" w:lineRule="auto"/>
        <w:rPr>
          <w:rFonts w:eastAsia="Times New Roman" w:cs="Tahoma"/>
          <w:b/>
          <w:szCs w:val="20"/>
          <w:lang w:eastAsia="de-AT"/>
        </w:rPr>
      </w:pPr>
      <w:r w:rsidRPr="00954442">
        <w:rPr>
          <w:rFonts w:eastAsia="Times New Roman" w:cs="Tahoma"/>
          <w:b/>
          <w:szCs w:val="20"/>
          <w:lang w:eastAsia="de-AT"/>
        </w:rPr>
        <w:t>Methodenwissen:</w:t>
      </w:r>
    </w:p>
    <w:p w:rsidR="00AC54DE" w:rsidRPr="00954442" w:rsidRDefault="00AC54DE" w:rsidP="00AC54DE">
      <w:pPr>
        <w:pStyle w:val="Listenabsatz"/>
        <w:numPr>
          <w:ilvl w:val="0"/>
          <w:numId w:val="3"/>
        </w:numPr>
        <w:spacing w:line="360" w:lineRule="auto"/>
        <w:rPr>
          <w:rFonts w:eastAsia="Times New Roman" w:cs="Tahoma"/>
          <w:szCs w:val="20"/>
          <w:lang w:eastAsia="de-AT"/>
        </w:rPr>
      </w:pPr>
      <w:r w:rsidRPr="00954442">
        <w:rPr>
          <w:rFonts w:eastAsia="Times New Roman" w:cs="Tahoma"/>
          <w:szCs w:val="20"/>
          <w:lang w:eastAsia="de-AT"/>
        </w:rPr>
        <w:t>Karten lesen und interpretieren</w:t>
      </w:r>
    </w:p>
    <w:p w:rsidR="00AC54DE" w:rsidRDefault="00AC54DE" w:rsidP="00AC54DE">
      <w:pPr>
        <w:pStyle w:val="Listenabsatz"/>
        <w:numPr>
          <w:ilvl w:val="0"/>
          <w:numId w:val="3"/>
        </w:numPr>
        <w:spacing w:line="360" w:lineRule="auto"/>
        <w:rPr>
          <w:rFonts w:eastAsia="Times New Roman" w:cs="Tahoma"/>
          <w:szCs w:val="20"/>
          <w:lang w:eastAsia="de-AT"/>
        </w:rPr>
      </w:pPr>
      <w:r>
        <w:rPr>
          <w:rFonts w:eastAsia="Times New Roman" w:cs="Tahoma"/>
          <w:szCs w:val="20"/>
          <w:lang w:eastAsia="de-AT"/>
        </w:rPr>
        <w:t>Tabellen lesen, interpretieren und zusammenfassen können</w:t>
      </w:r>
    </w:p>
    <w:p w:rsidR="00AC54DE" w:rsidRDefault="00AC54DE" w:rsidP="00AC54DE">
      <w:pPr>
        <w:pStyle w:val="Listenabsatz"/>
        <w:numPr>
          <w:ilvl w:val="0"/>
          <w:numId w:val="3"/>
        </w:numPr>
        <w:spacing w:line="360" w:lineRule="auto"/>
        <w:rPr>
          <w:rFonts w:eastAsia="Times New Roman" w:cs="Tahoma"/>
          <w:szCs w:val="20"/>
          <w:lang w:eastAsia="de-AT"/>
        </w:rPr>
      </w:pPr>
      <w:r>
        <w:rPr>
          <w:rFonts w:eastAsia="Times New Roman" w:cs="Tahoma"/>
          <w:szCs w:val="20"/>
          <w:lang w:eastAsia="de-AT"/>
        </w:rPr>
        <w:t xml:space="preserve">Diagramme lesen, interpretieren und zusammenfassen können </w:t>
      </w:r>
    </w:p>
    <w:p w:rsidR="00AC54DE" w:rsidRPr="00954442" w:rsidRDefault="00AC54DE" w:rsidP="00AC54DE">
      <w:pPr>
        <w:pStyle w:val="Listenabsatz"/>
        <w:numPr>
          <w:ilvl w:val="0"/>
          <w:numId w:val="3"/>
        </w:numPr>
        <w:spacing w:line="360" w:lineRule="auto"/>
        <w:rPr>
          <w:rFonts w:eastAsia="Times New Roman" w:cs="Tahoma"/>
          <w:szCs w:val="20"/>
          <w:lang w:eastAsia="de-AT"/>
        </w:rPr>
      </w:pPr>
      <w:r>
        <w:rPr>
          <w:rFonts w:eastAsia="Times New Roman" w:cs="Tahoma"/>
          <w:szCs w:val="20"/>
          <w:lang w:eastAsia="de-AT"/>
        </w:rPr>
        <w:t>Alle Methoden in kritischer Sichtweise</w:t>
      </w:r>
    </w:p>
    <w:p w:rsidR="00AC54DE" w:rsidRPr="00954442" w:rsidRDefault="00AC54DE" w:rsidP="00AC54DE">
      <w:pPr>
        <w:rPr>
          <w:sz w:val="20"/>
        </w:rPr>
      </w:pPr>
    </w:p>
    <w:p w:rsidR="000B52C8" w:rsidRPr="007F6C10" w:rsidRDefault="000B52C8" w:rsidP="000B52C8">
      <w:pPr>
        <w:spacing w:line="360" w:lineRule="auto"/>
        <w:rPr>
          <w:rFonts w:eastAsia="Times New Roman" w:cs="Tahoma"/>
          <w:b/>
          <w:szCs w:val="20"/>
          <w:lang w:eastAsia="de-AT"/>
        </w:rPr>
      </w:pPr>
      <w:r w:rsidRPr="007F6C10">
        <w:rPr>
          <w:rFonts w:eastAsia="Times New Roman" w:cs="Tahoma"/>
          <w:b/>
          <w:szCs w:val="20"/>
          <w:lang w:eastAsia="de-AT"/>
        </w:rPr>
        <w:t>Zitation:</w:t>
      </w:r>
    </w:p>
    <w:p w:rsidR="000B52C8" w:rsidRPr="007F6C10" w:rsidRDefault="000B52C8" w:rsidP="000B52C8">
      <w:pPr>
        <w:spacing w:line="360" w:lineRule="auto"/>
        <w:rPr>
          <w:rFonts w:eastAsia="Times New Roman" w:cs="Tahoma"/>
          <w:szCs w:val="20"/>
          <w:lang w:eastAsia="de-AT"/>
        </w:rPr>
      </w:pPr>
      <w:r>
        <w:rPr>
          <w:rFonts w:eastAsia="Times New Roman" w:cs="Tahoma"/>
          <w:szCs w:val="20"/>
          <w:lang w:eastAsia="de-AT"/>
        </w:rPr>
        <w:t>Bei den Maturafragen sind nur die Kurzbelege angegeben. Bei den Dokumenten nur Mit den Materialien, auch der jeweilige Langbeleg.</w:t>
      </w:r>
    </w:p>
    <w:p w:rsidR="00AC54DE" w:rsidRDefault="00AC54DE" w:rsidP="00AC54DE">
      <w:r w:rsidRPr="00954442">
        <w:rPr>
          <w:sz w:val="20"/>
        </w:rPr>
        <w:br w:type="page"/>
      </w:r>
    </w:p>
    <w:p w:rsidR="004E473C" w:rsidRPr="009F08A9" w:rsidRDefault="00C26F82" w:rsidP="00AC54DE">
      <w:pPr>
        <w:tabs>
          <w:tab w:val="center" w:pos="4536"/>
        </w:tabs>
        <w:jc w:val="center"/>
        <w:rPr>
          <w:b/>
          <w:sz w:val="28"/>
        </w:rPr>
      </w:pPr>
      <w:r>
        <w:rPr>
          <w:b/>
          <w:sz w:val="28"/>
        </w:rPr>
        <w:lastRenderedPageBreak/>
        <w:t>A</w:t>
      </w:r>
      <w:r w:rsidR="004E473C">
        <w:rPr>
          <w:b/>
          <w:sz w:val="28"/>
        </w:rPr>
        <w:t>lternative Klassifikation der Erde</w:t>
      </w:r>
    </w:p>
    <w:p w:rsidR="004E473C" w:rsidRDefault="004E473C" w:rsidP="004E473C"/>
    <w:p w:rsidR="004E473C" w:rsidRPr="000806DA" w:rsidRDefault="000806DA" w:rsidP="004E473C">
      <w:pPr>
        <w:rPr>
          <w:b/>
        </w:rPr>
      </w:pPr>
      <w:r w:rsidRPr="000806DA">
        <w:rPr>
          <w:b/>
        </w:rPr>
        <w:t>Situations- und Problembeschreibung</w:t>
      </w:r>
    </w:p>
    <w:p w:rsidR="000806DA" w:rsidRDefault="000806DA" w:rsidP="004E473C"/>
    <w:p w:rsidR="000806DA" w:rsidRDefault="000806DA" w:rsidP="000806DA">
      <w:pPr>
        <w:spacing w:line="360" w:lineRule="auto"/>
        <w:jc w:val="both"/>
      </w:pPr>
      <w:r>
        <w:t xml:space="preserve">Die Einteilung der Erde in unterschiedliche Bereiche kann nach Gesichtspunkten vorgenommen werden, die nicht ökonomischer oder klimatischer Art sein müssen. So gibt es die Möglichkeit den HDI als Klassifikationsoperator heranzuziehen. Die Auswirkungen der globalen ungleichen Entwicklung der Erde werden sich nicht </w:t>
      </w:r>
      <w:r w:rsidR="005857E2">
        <w:t xml:space="preserve">nur </w:t>
      </w:r>
      <w:r w:rsidR="00916ABC">
        <w:t>als</w:t>
      </w:r>
      <w:r>
        <w:t xml:space="preserve"> Disparitäten zwischen den einzelnen Ländern zeigen, sondern auch stark den HDI beeinflussen.</w:t>
      </w:r>
    </w:p>
    <w:p w:rsidR="000806DA" w:rsidRDefault="000806DA" w:rsidP="004E473C"/>
    <w:p w:rsidR="000806DA" w:rsidRPr="000806DA" w:rsidRDefault="000806DA" w:rsidP="004E473C">
      <w:pPr>
        <w:rPr>
          <w:b/>
        </w:rPr>
      </w:pPr>
      <w:r w:rsidRPr="000806DA">
        <w:rPr>
          <w:b/>
        </w:rPr>
        <w:t>Aufgabenstellung</w:t>
      </w:r>
    </w:p>
    <w:p w:rsidR="000806DA" w:rsidRDefault="000806DA" w:rsidP="004E473C"/>
    <w:p w:rsidR="000806DA" w:rsidRDefault="000806DA" w:rsidP="00BC2929">
      <w:pPr>
        <w:pStyle w:val="Listenabsatz"/>
        <w:numPr>
          <w:ilvl w:val="0"/>
          <w:numId w:val="1"/>
        </w:numPr>
        <w:spacing w:after="120" w:line="360" w:lineRule="auto"/>
        <w:ind w:left="425" w:hanging="425"/>
        <w:contextualSpacing w:val="0"/>
      </w:pPr>
      <w:r>
        <w:t>Beschreiben Sie mit eigenen Worten die Abkürzung HDI und geben Sie an, welche Faktoren als Parameter zur Bestimmung herangezogen werden.</w:t>
      </w:r>
    </w:p>
    <w:p w:rsidR="000806DA" w:rsidRDefault="008C0DC3" w:rsidP="00BC2929">
      <w:pPr>
        <w:pStyle w:val="Listenabsatz"/>
        <w:numPr>
          <w:ilvl w:val="0"/>
          <w:numId w:val="1"/>
        </w:numPr>
        <w:spacing w:after="120" w:line="360" w:lineRule="auto"/>
        <w:ind w:left="425" w:hanging="425"/>
        <w:contextualSpacing w:val="0"/>
      </w:pPr>
      <w:r>
        <w:t>Erläutern</w:t>
      </w:r>
      <w:r w:rsidR="00336E54">
        <w:t xml:space="preserve"> Sie mit Hilfe der Karte (M1) und der Tabelle (M2) die Klassifikation der Erde hinsichtlich des HDI.</w:t>
      </w:r>
      <w:r w:rsidR="00E31ECE">
        <w:t xml:space="preserve"> Versuchen Sie Rückschlüsse auf andere Faktoren zu ziehen (politische, geographische, klimatische, etc.).</w:t>
      </w:r>
      <w:r w:rsidR="00C26F82">
        <w:t xml:space="preserve"> </w:t>
      </w:r>
    </w:p>
    <w:p w:rsidR="00882D02" w:rsidRDefault="00E33230" w:rsidP="00BC2929">
      <w:pPr>
        <w:pStyle w:val="Listenabsatz"/>
        <w:numPr>
          <w:ilvl w:val="0"/>
          <w:numId w:val="1"/>
        </w:numPr>
        <w:spacing w:after="120" w:line="360" w:lineRule="auto"/>
        <w:ind w:left="425" w:hanging="425"/>
        <w:contextualSpacing w:val="0"/>
      </w:pPr>
      <w:r>
        <w:t>Entscheiden Sie sich für 2 Länder der Diagramme (M3), die ihrer Meinung herausstechen und einem Ländervergleich dienlich sind. Nehmen Sie aus der Sicht eines Menschenrechtlers zu den angegebenen Daten (M3 + M4) Stellung und begründen Sie ihre Auswahl.</w:t>
      </w:r>
      <w:r w:rsidR="00041E1B">
        <w:t xml:space="preserve"> Die Einbeziehung aller Materialien wird dabei helfen.</w:t>
      </w:r>
    </w:p>
    <w:p w:rsidR="003532E7" w:rsidRDefault="003532E7" w:rsidP="00287EF5">
      <w:pPr>
        <w:spacing w:line="360" w:lineRule="auto"/>
      </w:pPr>
    </w:p>
    <w:p w:rsidR="007A73EB" w:rsidRPr="00E33230" w:rsidRDefault="00E33230" w:rsidP="00E33230">
      <w:pPr>
        <w:rPr>
          <w:b/>
        </w:rPr>
      </w:pPr>
      <w:r w:rsidRPr="00E33230">
        <w:rPr>
          <w:b/>
        </w:rPr>
        <w:t>Material</w:t>
      </w:r>
    </w:p>
    <w:p w:rsidR="004E473C" w:rsidRDefault="004E473C" w:rsidP="00E33230"/>
    <w:p w:rsidR="004E473C" w:rsidRPr="004E473C" w:rsidRDefault="004E473C">
      <w:pPr>
        <w:rPr>
          <w:b/>
        </w:rPr>
      </w:pPr>
      <w:r w:rsidRPr="004E473C">
        <w:rPr>
          <w:b/>
        </w:rPr>
        <w:t>M1 – Einteilung der Erde nach dem HDI</w:t>
      </w:r>
      <w:r w:rsidR="00F41A41">
        <w:rPr>
          <w:b/>
        </w:rPr>
        <w:t xml:space="preserve"> (thematische Karte [Welt])</w:t>
      </w:r>
    </w:p>
    <w:p w:rsidR="004E473C" w:rsidRDefault="004E473C">
      <w:r>
        <w:rPr>
          <w:noProof/>
          <w:lang w:val="de-AT" w:eastAsia="de-AT"/>
        </w:rPr>
        <w:drawing>
          <wp:inline distT="0" distB="0" distL="0" distR="0">
            <wp:extent cx="5760720" cy="2503170"/>
            <wp:effectExtent l="19050" t="19050" r="11430" b="11430"/>
            <wp:docPr id="3" name="Grafik 0" descr="HDI_glo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I_global.png"/>
                    <pic:cNvPicPr/>
                  </pic:nvPicPr>
                  <pic:blipFill>
                    <a:blip r:embed="rId8" cstate="print"/>
                    <a:stretch>
                      <a:fillRect/>
                    </a:stretch>
                  </pic:blipFill>
                  <pic:spPr>
                    <a:xfrm>
                      <a:off x="0" y="0"/>
                      <a:ext cx="5760720" cy="2503170"/>
                    </a:xfrm>
                    <a:prstGeom prst="rect">
                      <a:avLst/>
                    </a:prstGeom>
                    <a:ln>
                      <a:solidFill>
                        <a:schemeClr val="tx1"/>
                      </a:solidFill>
                    </a:ln>
                  </pic:spPr>
                </pic:pic>
              </a:graphicData>
            </a:graphic>
          </wp:inline>
        </w:drawing>
      </w:r>
      <w:r>
        <w:rPr>
          <w:noProof/>
          <w:lang w:val="de-AT" w:eastAsia="de-AT"/>
        </w:rPr>
        <w:drawing>
          <wp:inline distT="0" distB="0" distL="0" distR="0">
            <wp:extent cx="5760720" cy="294005"/>
            <wp:effectExtent l="19050" t="19050" r="11430" b="1079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6066" t="62883" r="32066" b="30982"/>
                    <a:stretch>
                      <a:fillRect/>
                    </a:stretch>
                  </pic:blipFill>
                  <pic:spPr bwMode="auto">
                    <a:xfrm>
                      <a:off x="0" y="0"/>
                      <a:ext cx="5760720" cy="294005"/>
                    </a:xfrm>
                    <a:prstGeom prst="rect">
                      <a:avLst/>
                    </a:prstGeom>
                    <a:noFill/>
                    <a:ln w="9525">
                      <a:solidFill>
                        <a:schemeClr val="tx1"/>
                      </a:solidFill>
                      <a:miter lim="800000"/>
                      <a:headEnd/>
                      <a:tailEnd/>
                    </a:ln>
                  </pic:spPr>
                </pic:pic>
              </a:graphicData>
            </a:graphic>
          </wp:inline>
        </w:drawing>
      </w:r>
    </w:p>
    <w:p w:rsidR="003208FD" w:rsidRDefault="003208FD" w:rsidP="003208FD">
      <w:r w:rsidRPr="008C0905">
        <w:rPr>
          <w:b/>
        </w:rPr>
        <w:t>Karte 1:</w:t>
      </w:r>
      <w:r>
        <w:t xml:space="preserve"> HDI weltweit – Klassifikation (</w:t>
      </w:r>
      <w:r w:rsidRPr="008C0905">
        <w:rPr>
          <w:smallCaps/>
        </w:rPr>
        <w:t>Wikipedia.org</w:t>
      </w:r>
      <w:r>
        <w:t xml:space="preserve"> 2013:o.S.)</w:t>
      </w:r>
    </w:p>
    <w:p w:rsidR="004E473C" w:rsidRPr="003208FD" w:rsidRDefault="004E473C" w:rsidP="004E473C">
      <w:r w:rsidRPr="003208FD">
        <w:t>© CC BY-SA 3.0</w:t>
      </w:r>
    </w:p>
    <w:p w:rsidR="00C26F82" w:rsidRDefault="00C26F82" w:rsidP="004E473C"/>
    <w:p w:rsidR="003208FD" w:rsidRPr="003208FD" w:rsidRDefault="003208FD" w:rsidP="004E473C"/>
    <w:p w:rsidR="004E473C" w:rsidRPr="00BB6DC3" w:rsidRDefault="00882D02">
      <w:pPr>
        <w:rPr>
          <w:b/>
        </w:rPr>
      </w:pPr>
      <w:r w:rsidRPr="00BB6DC3">
        <w:rPr>
          <w:b/>
        </w:rPr>
        <w:lastRenderedPageBreak/>
        <w:t xml:space="preserve">M2 – Liste der Top 10 und </w:t>
      </w:r>
      <w:r w:rsidR="00BB6DC3" w:rsidRPr="00BB6DC3">
        <w:rPr>
          <w:b/>
        </w:rPr>
        <w:t>Unteren 10</w:t>
      </w:r>
      <w:r w:rsidR="00F41A41">
        <w:rPr>
          <w:b/>
        </w:rPr>
        <w:t xml:space="preserve"> (Tabelle)</w:t>
      </w:r>
    </w:p>
    <w:p w:rsidR="00BB6DC3" w:rsidRDefault="00BB6DC3"/>
    <w:p w:rsidR="00BB6DC3" w:rsidRDefault="00BB6DC3">
      <w:r>
        <w:rPr>
          <w:noProof/>
          <w:lang w:val="de-AT" w:eastAsia="de-AT"/>
        </w:rPr>
        <w:drawing>
          <wp:anchor distT="0" distB="0" distL="114300" distR="114300" simplePos="0" relativeHeight="251658240" behindDoc="0" locked="0" layoutInCell="1" allowOverlap="1">
            <wp:simplePos x="0" y="0"/>
            <wp:positionH relativeFrom="column">
              <wp:posOffset>3538855</wp:posOffset>
            </wp:positionH>
            <wp:positionV relativeFrom="paragraph">
              <wp:posOffset>694055</wp:posOffset>
            </wp:positionV>
            <wp:extent cx="2581275" cy="695325"/>
            <wp:effectExtent l="19050" t="19050" r="28575" b="28575"/>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2149" t="65951" r="59465" b="24847"/>
                    <a:stretch>
                      <a:fillRect/>
                    </a:stretch>
                  </pic:blipFill>
                  <pic:spPr bwMode="auto">
                    <a:xfrm>
                      <a:off x="0" y="0"/>
                      <a:ext cx="2581275" cy="695325"/>
                    </a:xfrm>
                    <a:prstGeom prst="rect">
                      <a:avLst/>
                    </a:prstGeom>
                    <a:noFill/>
                    <a:ln w="9525">
                      <a:solidFill>
                        <a:schemeClr val="tx1"/>
                      </a:solidFill>
                      <a:miter lim="800000"/>
                      <a:headEnd/>
                      <a:tailEnd/>
                    </a:ln>
                  </pic:spPr>
                </pic:pic>
              </a:graphicData>
            </a:graphic>
          </wp:anchor>
        </w:drawing>
      </w:r>
      <w:r>
        <w:rPr>
          <w:noProof/>
          <w:lang w:val="de-AT" w:eastAsia="de-AT"/>
        </w:rPr>
        <w:drawing>
          <wp:inline distT="0" distB="0" distL="0" distR="0">
            <wp:extent cx="3892378" cy="3600450"/>
            <wp:effectExtent l="19050" t="19050" r="12872" b="1905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21818" t="12271" r="31901" b="8274"/>
                    <a:stretch>
                      <a:fillRect/>
                    </a:stretch>
                  </pic:blipFill>
                  <pic:spPr bwMode="auto">
                    <a:xfrm>
                      <a:off x="0" y="0"/>
                      <a:ext cx="3892378" cy="3600450"/>
                    </a:xfrm>
                    <a:prstGeom prst="rect">
                      <a:avLst/>
                    </a:prstGeom>
                    <a:noFill/>
                    <a:ln w="9525">
                      <a:solidFill>
                        <a:schemeClr val="tx1"/>
                      </a:solidFill>
                      <a:miter lim="800000"/>
                      <a:headEnd/>
                      <a:tailEnd/>
                    </a:ln>
                  </pic:spPr>
                </pic:pic>
              </a:graphicData>
            </a:graphic>
          </wp:inline>
        </w:drawing>
      </w:r>
    </w:p>
    <w:p w:rsidR="003208FD" w:rsidRDefault="003208FD" w:rsidP="003208FD">
      <w:r w:rsidRPr="00BE27B1">
        <w:rPr>
          <w:b/>
        </w:rPr>
        <w:t>Tabelle 1</w:t>
      </w:r>
      <w:r w:rsidRPr="00BE27B1">
        <w:t>: Ranking der Länder (</w:t>
      </w:r>
      <w:proofErr w:type="spellStart"/>
      <w:r w:rsidRPr="00BE27B1">
        <w:rPr>
          <w:smallCaps/>
        </w:rPr>
        <w:t>Glennie</w:t>
      </w:r>
      <w:proofErr w:type="spellEnd"/>
      <w:r w:rsidRPr="00BE27B1">
        <w:t xml:space="preserve"> 2010:o.S.)</w:t>
      </w:r>
    </w:p>
    <w:p w:rsidR="00BB6DC3" w:rsidRDefault="00BB6DC3">
      <w:r w:rsidRPr="00BB6DC3">
        <w:rPr>
          <w:lang w:val="en-US"/>
        </w:rPr>
        <w:t xml:space="preserve">© 2015 Guardian News and Media Limited or its affiliated companies. </w:t>
      </w:r>
      <w:r w:rsidRPr="00BB6DC3">
        <w:t xml:space="preserve">All </w:t>
      </w:r>
      <w:proofErr w:type="spellStart"/>
      <w:r w:rsidRPr="00BB6DC3">
        <w:t>rights</w:t>
      </w:r>
      <w:proofErr w:type="spellEnd"/>
      <w:r w:rsidRPr="00BB6DC3">
        <w:t xml:space="preserve"> </w:t>
      </w:r>
      <w:proofErr w:type="spellStart"/>
      <w:r w:rsidRPr="00BB6DC3">
        <w:t>reserved</w:t>
      </w:r>
      <w:proofErr w:type="spellEnd"/>
      <w:r w:rsidRPr="00BB6DC3">
        <w:t>.</w:t>
      </w:r>
    </w:p>
    <w:p w:rsidR="00BB6DC3" w:rsidRDefault="00BB6DC3"/>
    <w:p w:rsidR="00B432EA" w:rsidRDefault="00B432EA"/>
    <w:p w:rsidR="00BB6DC3" w:rsidRDefault="00532EEE">
      <w:pPr>
        <w:rPr>
          <w:b/>
        </w:rPr>
      </w:pPr>
      <w:r w:rsidRPr="00532EEE">
        <w:rPr>
          <w:b/>
        </w:rPr>
        <w:t xml:space="preserve">M3 – Diagramme </w:t>
      </w:r>
      <w:r>
        <w:rPr>
          <w:b/>
        </w:rPr>
        <w:t>zu den Parametern des HDI</w:t>
      </w:r>
      <w:r w:rsidR="00F41A41">
        <w:rPr>
          <w:b/>
        </w:rPr>
        <w:t xml:space="preserve"> (Diagramm)</w:t>
      </w:r>
    </w:p>
    <w:p w:rsidR="00B432EA" w:rsidRPr="00532EEE" w:rsidRDefault="00B432EA">
      <w:pPr>
        <w:rPr>
          <w:b/>
        </w:rPr>
      </w:pPr>
    </w:p>
    <w:p w:rsidR="00532EEE" w:rsidRDefault="00532EEE">
      <w:r w:rsidRPr="00532EEE">
        <w:rPr>
          <w:noProof/>
          <w:lang w:val="de-AT" w:eastAsia="de-AT"/>
        </w:rPr>
        <w:drawing>
          <wp:inline distT="0" distB="0" distL="0" distR="0">
            <wp:extent cx="5486400" cy="3200400"/>
            <wp:effectExtent l="19050" t="0" r="19050" b="0"/>
            <wp:docPr id="5"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08FD" w:rsidRPr="00134E11" w:rsidRDefault="003208FD" w:rsidP="003208FD">
      <w:pPr>
        <w:rPr>
          <w:sz w:val="20"/>
        </w:rPr>
      </w:pPr>
      <w:r w:rsidRPr="00F76225">
        <w:rPr>
          <w:b/>
          <w:sz w:val="20"/>
        </w:rPr>
        <w:t>Diagramm 1</w:t>
      </w:r>
      <w:r>
        <w:rPr>
          <w:sz w:val="20"/>
        </w:rPr>
        <w:t>: Lebenserwartung (WHO 2014:o.S., eigene Darstellung)</w:t>
      </w:r>
    </w:p>
    <w:p w:rsidR="00532EEE" w:rsidRDefault="00532EEE" w:rsidP="00532EEE">
      <w:pPr>
        <w:rPr>
          <w:sz w:val="20"/>
          <w:lang w:val="en-US"/>
        </w:rPr>
      </w:pPr>
      <w:r w:rsidRPr="00134E11">
        <w:rPr>
          <w:sz w:val="20"/>
          <w:lang w:val="en-US"/>
        </w:rPr>
        <w:t>© WHO 2015</w:t>
      </w:r>
    </w:p>
    <w:p w:rsidR="00C26F82" w:rsidRPr="00134E11" w:rsidRDefault="00C26F82" w:rsidP="00532EEE">
      <w:pPr>
        <w:rPr>
          <w:sz w:val="20"/>
          <w:lang w:val="en-US"/>
        </w:rPr>
      </w:pPr>
    </w:p>
    <w:p w:rsidR="00532EEE" w:rsidRDefault="00532EEE">
      <w:r w:rsidRPr="00532EEE">
        <w:rPr>
          <w:noProof/>
          <w:lang w:val="de-AT" w:eastAsia="de-AT"/>
        </w:rPr>
        <w:lastRenderedPageBreak/>
        <w:drawing>
          <wp:inline distT="0" distB="0" distL="0" distR="0">
            <wp:extent cx="5486400" cy="3200400"/>
            <wp:effectExtent l="19050" t="0" r="19050" b="0"/>
            <wp:docPr id="6"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08FD" w:rsidRPr="00134E11" w:rsidRDefault="003208FD" w:rsidP="003208FD">
      <w:pPr>
        <w:rPr>
          <w:sz w:val="20"/>
        </w:rPr>
      </w:pPr>
      <w:r w:rsidRPr="008136E5">
        <w:rPr>
          <w:b/>
          <w:sz w:val="20"/>
        </w:rPr>
        <w:t>Diagramm 2:</w:t>
      </w:r>
      <w:r>
        <w:rPr>
          <w:sz w:val="20"/>
        </w:rPr>
        <w:t xml:space="preserve"> Schulbildung (UNESCO 2014:o.S., eigene Darstellung)</w:t>
      </w:r>
    </w:p>
    <w:p w:rsidR="00532EEE" w:rsidRPr="00134E11" w:rsidRDefault="00532EEE" w:rsidP="00532EEE">
      <w:pPr>
        <w:rPr>
          <w:sz w:val="20"/>
          <w:lang w:val="en-US"/>
        </w:rPr>
      </w:pPr>
      <w:r w:rsidRPr="00134E11">
        <w:rPr>
          <w:sz w:val="20"/>
          <w:lang w:val="en-US"/>
        </w:rPr>
        <w:t>© UIS. All rights reserved.</w:t>
      </w:r>
    </w:p>
    <w:p w:rsidR="00532EEE" w:rsidRDefault="00532EEE"/>
    <w:p w:rsidR="003208FD" w:rsidRDefault="003208FD"/>
    <w:p w:rsidR="003208FD" w:rsidRDefault="003208FD"/>
    <w:p w:rsidR="00532EEE" w:rsidRDefault="00532EEE">
      <w:r w:rsidRPr="00532EEE">
        <w:rPr>
          <w:noProof/>
          <w:lang w:val="de-AT" w:eastAsia="de-AT"/>
        </w:rPr>
        <w:drawing>
          <wp:inline distT="0" distB="0" distL="0" distR="0">
            <wp:extent cx="5486400" cy="3200400"/>
            <wp:effectExtent l="19050" t="0" r="19050" b="0"/>
            <wp:docPr id="8"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208FD" w:rsidRPr="008136E5" w:rsidRDefault="003208FD" w:rsidP="003208FD">
      <w:pPr>
        <w:rPr>
          <w:sz w:val="20"/>
        </w:rPr>
      </w:pPr>
      <w:r w:rsidRPr="008136E5">
        <w:rPr>
          <w:b/>
          <w:sz w:val="20"/>
        </w:rPr>
        <w:t>Diagramm 3:</w:t>
      </w:r>
      <w:r w:rsidRPr="008136E5">
        <w:rPr>
          <w:sz w:val="20"/>
        </w:rPr>
        <w:t xml:space="preserve"> BIP (</w:t>
      </w:r>
      <w:r w:rsidRPr="008136E5">
        <w:rPr>
          <w:smallCaps/>
          <w:sz w:val="20"/>
        </w:rPr>
        <w:t xml:space="preserve">The </w:t>
      </w:r>
      <w:proofErr w:type="spellStart"/>
      <w:r w:rsidRPr="008136E5">
        <w:rPr>
          <w:smallCaps/>
          <w:sz w:val="20"/>
        </w:rPr>
        <w:t>Worldbank</w:t>
      </w:r>
      <w:proofErr w:type="spellEnd"/>
      <w:r w:rsidRPr="008136E5">
        <w:rPr>
          <w:smallCaps/>
          <w:sz w:val="20"/>
        </w:rPr>
        <w:t xml:space="preserve"> </w:t>
      </w:r>
      <w:r w:rsidRPr="008136E5">
        <w:rPr>
          <w:sz w:val="20"/>
        </w:rPr>
        <w:t>2011:o.S., eigene Darstellung)</w:t>
      </w:r>
    </w:p>
    <w:p w:rsidR="00532EEE" w:rsidRPr="00134E11" w:rsidRDefault="00532EEE" w:rsidP="00532EEE">
      <w:pPr>
        <w:rPr>
          <w:sz w:val="20"/>
          <w:lang w:val="en-US"/>
        </w:rPr>
      </w:pPr>
      <w:r w:rsidRPr="00134E11">
        <w:rPr>
          <w:sz w:val="20"/>
          <w:lang w:val="en-US"/>
        </w:rPr>
        <w:t>© 2015 The World Bank Group, All Rights Reserved.</w:t>
      </w:r>
    </w:p>
    <w:p w:rsidR="00532EEE" w:rsidRDefault="00532EEE" w:rsidP="00532EEE">
      <w:pPr>
        <w:rPr>
          <w:lang w:val="en-US"/>
        </w:rPr>
      </w:pPr>
    </w:p>
    <w:p w:rsidR="00532EEE" w:rsidRDefault="00532EEE">
      <w:pPr>
        <w:rPr>
          <w:lang w:val="en-US"/>
        </w:rPr>
      </w:pPr>
    </w:p>
    <w:p w:rsidR="00E33230" w:rsidRDefault="00E33230">
      <w:pPr>
        <w:rPr>
          <w:lang w:val="en-US"/>
        </w:rPr>
      </w:pPr>
    </w:p>
    <w:p w:rsidR="00E33230" w:rsidRDefault="00E33230">
      <w:pPr>
        <w:rPr>
          <w:lang w:val="en-US"/>
        </w:rPr>
      </w:pPr>
    </w:p>
    <w:p w:rsidR="00E33230" w:rsidRDefault="00E33230">
      <w:pPr>
        <w:rPr>
          <w:lang w:val="en-US"/>
        </w:rPr>
      </w:pPr>
    </w:p>
    <w:p w:rsidR="00AC54DE" w:rsidRDefault="00AC54DE">
      <w:pPr>
        <w:rPr>
          <w:lang w:val="en-US"/>
        </w:rPr>
      </w:pPr>
    </w:p>
    <w:p w:rsidR="00AC54DE" w:rsidRDefault="00AC54DE">
      <w:pPr>
        <w:rPr>
          <w:lang w:val="en-US"/>
        </w:rPr>
      </w:pPr>
    </w:p>
    <w:p w:rsidR="00AC54DE" w:rsidRDefault="00AC54DE">
      <w:pPr>
        <w:rPr>
          <w:lang w:val="en-US"/>
        </w:rPr>
      </w:pPr>
    </w:p>
    <w:p w:rsidR="003208FD" w:rsidRDefault="003208FD">
      <w:pPr>
        <w:rPr>
          <w:lang w:val="en-US"/>
        </w:rPr>
      </w:pPr>
    </w:p>
    <w:p w:rsidR="00532EEE" w:rsidRPr="00532EEE" w:rsidRDefault="00532EEE">
      <w:pPr>
        <w:rPr>
          <w:b/>
        </w:rPr>
      </w:pPr>
      <w:r w:rsidRPr="00532EEE">
        <w:rPr>
          <w:b/>
        </w:rPr>
        <w:lastRenderedPageBreak/>
        <w:t>M4 – Diagramme zu Alphabetisierung und Arbeitslosigkeit</w:t>
      </w:r>
      <w:r w:rsidR="00F41A41">
        <w:rPr>
          <w:b/>
        </w:rPr>
        <w:t xml:space="preserve"> (Diagramm)</w:t>
      </w:r>
    </w:p>
    <w:p w:rsidR="00532EEE" w:rsidRDefault="00532EEE"/>
    <w:p w:rsidR="00532EEE" w:rsidRDefault="00532EEE">
      <w:r w:rsidRPr="00532EEE">
        <w:rPr>
          <w:noProof/>
          <w:lang w:val="de-AT" w:eastAsia="de-AT"/>
        </w:rPr>
        <w:drawing>
          <wp:inline distT="0" distB="0" distL="0" distR="0">
            <wp:extent cx="5486400" cy="3200400"/>
            <wp:effectExtent l="19050" t="0" r="19050" b="0"/>
            <wp:docPr id="9"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32EA" w:rsidRPr="00134E11" w:rsidRDefault="00B432EA" w:rsidP="00B432EA">
      <w:pPr>
        <w:rPr>
          <w:sz w:val="20"/>
        </w:rPr>
      </w:pPr>
      <w:r w:rsidRPr="00D2684B">
        <w:rPr>
          <w:b/>
          <w:sz w:val="20"/>
        </w:rPr>
        <w:t>Diagramm 4:</w:t>
      </w:r>
      <w:r>
        <w:rPr>
          <w:sz w:val="20"/>
        </w:rPr>
        <w:t xml:space="preserve"> </w:t>
      </w:r>
      <w:proofErr w:type="spellStart"/>
      <w:r>
        <w:rPr>
          <w:sz w:val="20"/>
        </w:rPr>
        <w:t>Alphabethisierungsrate</w:t>
      </w:r>
      <w:proofErr w:type="spellEnd"/>
      <w:r>
        <w:rPr>
          <w:sz w:val="20"/>
        </w:rPr>
        <w:t xml:space="preserve"> (</w:t>
      </w:r>
      <w:r w:rsidRPr="00D2684B">
        <w:rPr>
          <w:smallCaps/>
          <w:sz w:val="20"/>
        </w:rPr>
        <w:t xml:space="preserve">The </w:t>
      </w:r>
      <w:proofErr w:type="spellStart"/>
      <w:r w:rsidRPr="00D2684B">
        <w:rPr>
          <w:smallCaps/>
          <w:sz w:val="20"/>
        </w:rPr>
        <w:t>Worldbank</w:t>
      </w:r>
      <w:proofErr w:type="spellEnd"/>
      <w:r w:rsidRPr="00D2684B">
        <w:rPr>
          <w:smallCaps/>
          <w:sz w:val="20"/>
        </w:rPr>
        <w:t xml:space="preserve"> </w:t>
      </w:r>
      <w:r>
        <w:rPr>
          <w:sz w:val="20"/>
        </w:rPr>
        <w:t>2014:o.S., eigene Darstellung)</w:t>
      </w:r>
    </w:p>
    <w:p w:rsidR="00532EEE" w:rsidRPr="00134E11" w:rsidRDefault="00532EEE" w:rsidP="00532EEE">
      <w:pPr>
        <w:rPr>
          <w:sz w:val="20"/>
          <w:lang w:val="en-US"/>
        </w:rPr>
      </w:pPr>
      <w:r w:rsidRPr="00134E11">
        <w:rPr>
          <w:sz w:val="20"/>
          <w:lang w:val="en-US"/>
        </w:rPr>
        <w:t>© 2015 The World Bank Group, All Rights Reserved.</w:t>
      </w:r>
    </w:p>
    <w:p w:rsidR="00532EEE" w:rsidRDefault="00532EEE">
      <w:pPr>
        <w:rPr>
          <w:sz w:val="20"/>
          <w:lang w:val="en-US"/>
        </w:rPr>
      </w:pPr>
    </w:p>
    <w:p w:rsidR="00B432EA" w:rsidRDefault="00B432EA">
      <w:pPr>
        <w:rPr>
          <w:sz w:val="20"/>
          <w:lang w:val="en-US"/>
        </w:rPr>
      </w:pPr>
    </w:p>
    <w:p w:rsidR="00B432EA" w:rsidRPr="00134E11" w:rsidRDefault="00B432EA">
      <w:pPr>
        <w:rPr>
          <w:sz w:val="20"/>
          <w:lang w:val="en-US"/>
        </w:rPr>
      </w:pPr>
    </w:p>
    <w:p w:rsidR="00532EEE" w:rsidRPr="00532EEE" w:rsidRDefault="00532EEE">
      <w:pPr>
        <w:rPr>
          <w:lang w:val="en-US"/>
        </w:rPr>
      </w:pPr>
      <w:r w:rsidRPr="00532EEE">
        <w:rPr>
          <w:noProof/>
          <w:lang w:val="de-AT" w:eastAsia="de-AT"/>
        </w:rPr>
        <w:drawing>
          <wp:inline distT="0" distB="0" distL="0" distR="0">
            <wp:extent cx="5486400" cy="3200400"/>
            <wp:effectExtent l="19050" t="0" r="19050" b="0"/>
            <wp:docPr id="10"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32EA" w:rsidRPr="00D2684B" w:rsidRDefault="00B432EA" w:rsidP="00B432EA">
      <w:pPr>
        <w:rPr>
          <w:sz w:val="20"/>
        </w:rPr>
      </w:pPr>
      <w:r w:rsidRPr="00D2684B">
        <w:rPr>
          <w:b/>
          <w:sz w:val="20"/>
        </w:rPr>
        <w:t>Diagramm 5:</w:t>
      </w:r>
      <w:r w:rsidRPr="00D2684B">
        <w:rPr>
          <w:sz w:val="20"/>
        </w:rPr>
        <w:t xml:space="preserve"> Arbeitslosigkeit (</w:t>
      </w:r>
      <w:r w:rsidRPr="00D2684B">
        <w:rPr>
          <w:smallCaps/>
          <w:sz w:val="20"/>
        </w:rPr>
        <w:t xml:space="preserve">The </w:t>
      </w:r>
      <w:proofErr w:type="spellStart"/>
      <w:r w:rsidRPr="00D2684B">
        <w:rPr>
          <w:smallCaps/>
          <w:sz w:val="20"/>
        </w:rPr>
        <w:t>Worldbank</w:t>
      </w:r>
      <w:proofErr w:type="spellEnd"/>
      <w:r w:rsidRPr="00D2684B">
        <w:rPr>
          <w:sz w:val="20"/>
        </w:rPr>
        <w:t xml:space="preserve"> 2014:o.S.,</w:t>
      </w:r>
      <w:r>
        <w:rPr>
          <w:sz w:val="20"/>
        </w:rPr>
        <w:t xml:space="preserve"> eigene Darstellung)</w:t>
      </w:r>
    </w:p>
    <w:p w:rsidR="00532EEE" w:rsidRPr="00134E11" w:rsidRDefault="00532EEE" w:rsidP="00532EEE">
      <w:pPr>
        <w:rPr>
          <w:sz w:val="20"/>
          <w:lang w:val="en-US"/>
        </w:rPr>
      </w:pPr>
      <w:r w:rsidRPr="00134E11">
        <w:rPr>
          <w:sz w:val="20"/>
          <w:lang w:val="en-US"/>
        </w:rPr>
        <w:t>© 2015 The World Bank Group, All Rights Reserved.</w:t>
      </w:r>
    </w:p>
    <w:p w:rsidR="00532EEE" w:rsidRDefault="00532EEE">
      <w:pPr>
        <w:rPr>
          <w:lang w:val="en-US"/>
        </w:rPr>
      </w:pPr>
    </w:p>
    <w:p w:rsidR="00B92D7F" w:rsidRDefault="00B92D7F">
      <w:pPr>
        <w:rPr>
          <w:lang w:val="en-US"/>
        </w:rPr>
      </w:pPr>
    </w:p>
    <w:p w:rsidR="00AC54DE" w:rsidRPr="003208FD" w:rsidRDefault="00AC54DE">
      <w:pPr>
        <w:rPr>
          <w:b/>
          <w:lang w:val="en-US"/>
        </w:rPr>
      </w:pPr>
      <w:r w:rsidRPr="003208FD">
        <w:rPr>
          <w:b/>
          <w:lang w:val="en-US"/>
        </w:rPr>
        <w:br w:type="page"/>
      </w:r>
    </w:p>
    <w:p w:rsidR="00B92D7F" w:rsidRPr="00AC54DE" w:rsidRDefault="00AC54DE" w:rsidP="00AC54DE">
      <w:pPr>
        <w:rPr>
          <w:b/>
        </w:rPr>
      </w:pPr>
      <w:r w:rsidRPr="00AC54DE">
        <w:rPr>
          <w:b/>
        </w:rPr>
        <w:lastRenderedPageBreak/>
        <w:t>Beantwortung:</w:t>
      </w:r>
    </w:p>
    <w:p w:rsidR="00AC54DE" w:rsidRDefault="00AC54DE" w:rsidP="00AC54DE"/>
    <w:p w:rsidR="00AC54DE" w:rsidRPr="003208FD" w:rsidRDefault="00AC54DE" w:rsidP="00AC54DE">
      <w:r w:rsidRPr="003208FD">
        <w:t>1)</w:t>
      </w:r>
    </w:p>
    <w:p w:rsidR="00AC54DE" w:rsidRPr="003208FD" w:rsidRDefault="00AC54DE" w:rsidP="00AC54DE">
      <w:r w:rsidRPr="003208FD">
        <w:t>Human Development Index; Parameter in Diagramme angegeben.</w:t>
      </w:r>
    </w:p>
    <w:p w:rsidR="00AC54DE" w:rsidRPr="003208FD" w:rsidRDefault="00AC54DE" w:rsidP="00AC54DE"/>
    <w:p w:rsidR="00AC54DE" w:rsidRPr="00AC54DE" w:rsidRDefault="00AC54DE" w:rsidP="00AC54DE">
      <w:r w:rsidRPr="00AC54DE">
        <w:t>2)</w:t>
      </w:r>
    </w:p>
    <w:p w:rsidR="00AC54DE" w:rsidRPr="00AC54DE" w:rsidRDefault="00AC54DE" w:rsidP="00AC54DE">
      <w:r w:rsidRPr="00AC54DE">
        <w:t>Sollen erkennen, dass Norden sehr hohen HDI aufweist und Süden nicht (Ausnahme: Australien)</w:t>
      </w:r>
    </w:p>
    <w:p w:rsidR="00AC54DE" w:rsidRDefault="00AC54DE" w:rsidP="00AC54DE">
      <w:r>
        <w:t xml:space="preserve">Sollen auf Klima Rückschlüsse ziehen </w:t>
      </w:r>
      <w:r>
        <w:sym w:font="Wingdings" w:char="F0E0"/>
      </w:r>
      <w:r>
        <w:t xml:space="preserve"> Afrika tropisches Klima, darum schwer Nahrungsmittel anzubauen, etc.</w:t>
      </w:r>
    </w:p>
    <w:p w:rsidR="00AC54DE" w:rsidRDefault="00AC54DE" w:rsidP="00AC54DE"/>
    <w:p w:rsidR="00AC54DE" w:rsidRDefault="00AC54DE" w:rsidP="00AC54DE">
      <w:r>
        <w:t>3)</w:t>
      </w:r>
    </w:p>
    <w:p w:rsidR="00AC54DE" w:rsidRDefault="00AC54DE" w:rsidP="00AC54DE">
      <w:r>
        <w:t>Sehr individuelle Lösung, da verschiedenen Kombinationen möglich sind.</w:t>
      </w:r>
    </w:p>
    <w:p w:rsidR="00AC54DE" w:rsidRDefault="00AC54DE" w:rsidP="00AC54DE">
      <w:r>
        <w:t>Vorschlag: Afghanistan und Niederlande</w:t>
      </w:r>
    </w:p>
    <w:p w:rsidR="00AC54DE" w:rsidRDefault="00AC54DE" w:rsidP="00AC54DE">
      <w:r>
        <w:t xml:space="preserve">Sollen Diagramme genau interpretieren und vergleichen untereinander (nur die beiden Länder; können auch mehrere sein) </w:t>
      </w:r>
      <w:r>
        <w:sym w:font="Wingdings" w:char="F0E0"/>
      </w:r>
      <w:r>
        <w:t xml:space="preserve"> sollen Unterschiede bezüglich der HDI Parameter aufdecken und kritisch Stellung nehmen (Sicht eines Menschenrechtlers) </w:t>
      </w:r>
      <w:r>
        <w:sym w:font="Wingdings" w:char="F0E0"/>
      </w:r>
      <w:r>
        <w:t xml:space="preserve"> müssen vielleicht andere Position vertreten (sie stehen vielleicht selbst nicht zu dieser Überzeugung)</w:t>
      </w:r>
    </w:p>
    <w:p w:rsidR="000B52C8" w:rsidRDefault="000B52C8" w:rsidP="00AC54DE"/>
    <w:p w:rsidR="000B52C8" w:rsidRDefault="000B52C8" w:rsidP="00AC54DE"/>
    <w:p w:rsidR="000B52C8" w:rsidRDefault="000B52C8" w:rsidP="00AC54DE"/>
    <w:p w:rsidR="000B52C8" w:rsidRDefault="000B52C8" w:rsidP="00AC54DE"/>
    <w:p w:rsidR="000B52C8" w:rsidRPr="00BC2929" w:rsidRDefault="000B52C8" w:rsidP="00AC54DE">
      <w:pPr>
        <w:rPr>
          <w:b/>
          <w:lang w:val="en-GB"/>
        </w:rPr>
      </w:pPr>
      <w:proofErr w:type="spellStart"/>
      <w:r w:rsidRPr="00BC2929">
        <w:rPr>
          <w:b/>
          <w:lang w:val="en-GB"/>
        </w:rPr>
        <w:t>Bibliographie</w:t>
      </w:r>
      <w:proofErr w:type="spellEnd"/>
      <w:r w:rsidRPr="00BC2929">
        <w:rPr>
          <w:b/>
          <w:lang w:val="en-GB"/>
        </w:rPr>
        <w:t>:</w:t>
      </w:r>
    </w:p>
    <w:p w:rsidR="000B52C8" w:rsidRPr="00BC2929" w:rsidRDefault="000B52C8" w:rsidP="00AC54DE">
      <w:pPr>
        <w:rPr>
          <w:sz w:val="20"/>
          <w:szCs w:val="20"/>
          <w:lang w:val="en-GB"/>
        </w:rPr>
      </w:pPr>
    </w:p>
    <w:p w:rsidR="000B52C8" w:rsidRPr="000B52C8" w:rsidRDefault="000B52C8" w:rsidP="000B52C8">
      <w:pPr>
        <w:ind w:left="567" w:hanging="567"/>
        <w:rPr>
          <w:sz w:val="20"/>
          <w:szCs w:val="20"/>
        </w:rPr>
      </w:pPr>
      <w:proofErr w:type="spellStart"/>
      <w:r w:rsidRPr="000B52C8">
        <w:rPr>
          <w:smallCaps/>
          <w:sz w:val="20"/>
          <w:szCs w:val="20"/>
          <w:lang w:val="en-US"/>
        </w:rPr>
        <w:t>Glennie</w:t>
      </w:r>
      <w:proofErr w:type="spellEnd"/>
      <w:r w:rsidRPr="000B52C8">
        <w:rPr>
          <w:smallCaps/>
          <w:sz w:val="20"/>
          <w:szCs w:val="20"/>
          <w:lang w:val="en-US"/>
        </w:rPr>
        <w:t>, J.</w:t>
      </w:r>
      <w:r w:rsidRPr="000B52C8">
        <w:rPr>
          <w:sz w:val="20"/>
          <w:szCs w:val="20"/>
          <w:lang w:val="en-US"/>
        </w:rPr>
        <w:t xml:space="preserve"> (2010): Human development index: Equality matters if we are to reduce poverty. </w:t>
      </w:r>
      <w:r w:rsidRPr="000B52C8">
        <w:rPr>
          <w:sz w:val="20"/>
          <w:szCs w:val="20"/>
        </w:rPr>
        <w:t>&lt;</w:t>
      </w:r>
      <w:hyperlink r:id="rId17" w:history="1">
        <w:r w:rsidRPr="000B52C8">
          <w:rPr>
            <w:rStyle w:val="Hyperlink"/>
            <w:sz w:val="20"/>
            <w:szCs w:val="20"/>
          </w:rPr>
          <w:t>http://www.theguardian.com/global-development/datablog/2010/nov/04/human-development-index-equality-matters</w:t>
        </w:r>
      </w:hyperlink>
      <w:r w:rsidRPr="000B52C8">
        <w:rPr>
          <w:sz w:val="20"/>
          <w:szCs w:val="20"/>
        </w:rPr>
        <w:t>&gt; (Zugriff: 2015-01-02).</w:t>
      </w:r>
    </w:p>
    <w:p w:rsidR="000B52C8" w:rsidRPr="000B52C8" w:rsidRDefault="000B52C8" w:rsidP="000B52C8">
      <w:pPr>
        <w:ind w:left="567" w:hanging="567"/>
        <w:rPr>
          <w:sz w:val="20"/>
          <w:szCs w:val="20"/>
        </w:rPr>
      </w:pPr>
      <w:r w:rsidRPr="000B52C8">
        <w:rPr>
          <w:smallCaps/>
          <w:sz w:val="20"/>
          <w:szCs w:val="20"/>
          <w:lang w:val="en-US"/>
        </w:rPr>
        <w:t>United Nations Educational, Scientific and Cultural Organization</w:t>
      </w:r>
      <w:r w:rsidRPr="000B52C8">
        <w:rPr>
          <w:sz w:val="20"/>
          <w:szCs w:val="20"/>
          <w:lang w:val="en-US"/>
        </w:rPr>
        <w:t xml:space="preserve"> (UNESCO) (2014): Education. </w:t>
      </w:r>
      <w:r w:rsidRPr="000B52C8">
        <w:rPr>
          <w:sz w:val="20"/>
          <w:szCs w:val="20"/>
        </w:rPr>
        <w:t>&lt;</w:t>
      </w:r>
      <w:hyperlink r:id="rId18" w:history="1">
        <w:r w:rsidRPr="000B52C8">
          <w:rPr>
            <w:rStyle w:val="Hyperlink"/>
            <w:sz w:val="20"/>
            <w:szCs w:val="20"/>
          </w:rPr>
          <w:t>http://data.uis.unesco.org/Index.aspx?DataSetCode=EDULIT_DS&amp;popupcustomise=true&amp;lang=en</w:t>
        </w:r>
      </w:hyperlink>
      <w:r w:rsidRPr="000B52C8">
        <w:rPr>
          <w:sz w:val="20"/>
          <w:szCs w:val="20"/>
        </w:rPr>
        <w:t>&gt; (Zugriff: 2015-01-04).</w:t>
      </w:r>
    </w:p>
    <w:p w:rsidR="000B52C8" w:rsidRPr="000B52C8" w:rsidRDefault="000B52C8" w:rsidP="000B52C8">
      <w:pPr>
        <w:ind w:left="567" w:hanging="567"/>
        <w:rPr>
          <w:sz w:val="20"/>
          <w:szCs w:val="20"/>
        </w:rPr>
      </w:pPr>
      <w:r w:rsidRPr="000B52C8">
        <w:rPr>
          <w:smallCaps/>
          <w:sz w:val="20"/>
          <w:szCs w:val="20"/>
          <w:lang w:val="en-US"/>
        </w:rPr>
        <w:t xml:space="preserve">The </w:t>
      </w:r>
      <w:proofErr w:type="spellStart"/>
      <w:r w:rsidRPr="000B52C8">
        <w:rPr>
          <w:smallCaps/>
          <w:sz w:val="20"/>
          <w:szCs w:val="20"/>
          <w:lang w:val="en-US"/>
        </w:rPr>
        <w:t>Worldbank</w:t>
      </w:r>
      <w:proofErr w:type="spellEnd"/>
      <w:r w:rsidRPr="000B52C8">
        <w:rPr>
          <w:smallCaps/>
          <w:sz w:val="20"/>
          <w:szCs w:val="20"/>
          <w:lang w:val="en-US"/>
        </w:rPr>
        <w:t xml:space="preserve"> (</w:t>
      </w:r>
      <w:r w:rsidRPr="000B52C8">
        <w:rPr>
          <w:sz w:val="20"/>
          <w:szCs w:val="20"/>
          <w:lang w:val="en-US"/>
        </w:rPr>
        <w:t xml:space="preserve">2014): Literacy rate, adult total (% of people ages 15 and above). </w:t>
      </w:r>
      <w:r w:rsidRPr="000B52C8">
        <w:rPr>
          <w:sz w:val="20"/>
          <w:szCs w:val="20"/>
        </w:rPr>
        <w:t>&lt;</w:t>
      </w:r>
      <w:hyperlink r:id="rId19" w:history="1">
        <w:r w:rsidRPr="000B52C8">
          <w:rPr>
            <w:rStyle w:val="Hyperlink"/>
            <w:sz w:val="20"/>
            <w:szCs w:val="20"/>
          </w:rPr>
          <w:t>http://data.worldbank.org/indicator/SE.ADT.LITR.ZS</w:t>
        </w:r>
      </w:hyperlink>
      <w:r w:rsidRPr="000B52C8">
        <w:rPr>
          <w:sz w:val="20"/>
          <w:szCs w:val="20"/>
        </w:rPr>
        <w:t>&gt; (Zugriff: 2015-01-04).</w:t>
      </w:r>
    </w:p>
    <w:p w:rsidR="000B52C8" w:rsidRPr="000B52C8" w:rsidRDefault="000B52C8" w:rsidP="000B52C8">
      <w:pPr>
        <w:ind w:left="567" w:hanging="567"/>
        <w:rPr>
          <w:sz w:val="20"/>
          <w:szCs w:val="20"/>
          <w:lang w:val="en-US"/>
        </w:rPr>
      </w:pPr>
      <w:r w:rsidRPr="000B52C8">
        <w:rPr>
          <w:smallCaps/>
          <w:sz w:val="20"/>
          <w:szCs w:val="20"/>
          <w:lang w:val="en-US"/>
        </w:rPr>
        <w:t xml:space="preserve">The </w:t>
      </w:r>
      <w:proofErr w:type="spellStart"/>
      <w:r w:rsidRPr="000B52C8">
        <w:rPr>
          <w:smallCaps/>
          <w:sz w:val="20"/>
          <w:szCs w:val="20"/>
          <w:lang w:val="en-US"/>
        </w:rPr>
        <w:t>Worldbank</w:t>
      </w:r>
      <w:proofErr w:type="spellEnd"/>
      <w:r w:rsidRPr="000B52C8">
        <w:rPr>
          <w:smallCaps/>
          <w:sz w:val="20"/>
          <w:szCs w:val="20"/>
          <w:lang w:val="en-US"/>
        </w:rPr>
        <w:t xml:space="preserve"> (</w:t>
      </w:r>
      <w:r w:rsidRPr="000B52C8">
        <w:rPr>
          <w:sz w:val="20"/>
          <w:szCs w:val="20"/>
          <w:lang w:val="en-US"/>
        </w:rPr>
        <w:t>2014): Unemployment, total (% of total labor force) &lt;</w:t>
      </w:r>
      <w:hyperlink r:id="rId20" w:history="1">
        <w:r w:rsidRPr="000B52C8">
          <w:rPr>
            <w:rStyle w:val="Hyperlink"/>
            <w:sz w:val="20"/>
            <w:szCs w:val="20"/>
            <w:lang w:val="en-US"/>
          </w:rPr>
          <w:t>http://data.worldbank.org/indicator/SL.UEM.TOTL.ZS/countries</w:t>
        </w:r>
      </w:hyperlink>
      <w:r w:rsidRPr="000B52C8">
        <w:rPr>
          <w:sz w:val="20"/>
          <w:szCs w:val="20"/>
          <w:lang w:val="en-US"/>
        </w:rPr>
        <w:t>&gt; (</w:t>
      </w:r>
      <w:proofErr w:type="spellStart"/>
      <w:r w:rsidRPr="000B52C8">
        <w:rPr>
          <w:sz w:val="20"/>
          <w:szCs w:val="20"/>
          <w:lang w:val="en-US"/>
        </w:rPr>
        <w:t>Zugriff</w:t>
      </w:r>
      <w:proofErr w:type="spellEnd"/>
      <w:r w:rsidRPr="000B52C8">
        <w:rPr>
          <w:sz w:val="20"/>
          <w:szCs w:val="20"/>
          <w:lang w:val="en-US"/>
        </w:rPr>
        <w:t>: 2015-01-04).</w:t>
      </w:r>
    </w:p>
    <w:p w:rsidR="000B52C8" w:rsidRPr="000B52C8" w:rsidRDefault="000B52C8" w:rsidP="000B52C8">
      <w:pPr>
        <w:ind w:left="567" w:hanging="567"/>
        <w:rPr>
          <w:sz w:val="20"/>
          <w:szCs w:val="20"/>
        </w:rPr>
      </w:pPr>
      <w:r w:rsidRPr="000B52C8">
        <w:rPr>
          <w:smallCaps/>
          <w:sz w:val="20"/>
          <w:szCs w:val="20"/>
          <w:lang w:val="en-US"/>
        </w:rPr>
        <w:t xml:space="preserve">The </w:t>
      </w:r>
      <w:proofErr w:type="spellStart"/>
      <w:r w:rsidRPr="000B52C8">
        <w:rPr>
          <w:smallCaps/>
          <w:sz w:val="20"/>
          <w:szCs w:val="20"/>
          <w:lang w:val="en-US"/>
        </w:rPr>
        <w:t>Worldbank</w:t>
      </w:r>
      <w:proofErr w:type="spellEnd"/>
      <w:r w:rsidRPr="000B52C8">
        <w:rPr>
          <w:smallCaps/>
          <w:sz w:val="20"/>
          <w:szCs w:val="20"/>
          <w:lang w:val="en-US"/>
        </w:rPr>
        <w:t xml:space="preserve"> (</w:t>
      </w:r>
      <w:r w:rsidRPr="000B52C8">
        <w:rPr>
          <w:sz w:val="20"/>
          <w:szCs w:val="20"/>
          <w:lang w:val="en-US"/>
        </w:rPr>
        <w:t xml:space="preserve">2011): GNI per capita, PPP (current international $). </w:t>
      </w:r>
      <w:r w:rsidRPr="000B52C8">
        <w:rPr>
          <w:sz w:val="20"/>
          <w:szCs w:val="20"/>
        </w:rPr>
        <w:t>&lt;</w:t>
      </w:r>
      <w:hyperlink r:id="rId21" w:history="1">
        <w:r w:rsidRPr="000B52C8">
          <w:rPr>
            <w:rStyle w:val="Hyperlink"/>
            <w:sz w:val="20"/>
            <w:szCs w:val="20"/>
          </w:rPr>
          <w:t>http://data.worldbank.org/indicator/NY.GNP.PCAP.PP.CD</w:t>
        </w:r>
      </w:hyperlink>
      <w:r w:rsidRPr="000B52C8">
        <w:rPr>
          <w:sz w:val="20"/>
          <w:szCs w:val="20"/>
        </w:rPr>
        <w:t>&gt; (Zugriff: 2015-01-04).</w:t>
      </w:r>
    </w:p>
    <w:p w:rsidR="000B52C8" w:rsidRPr="000B52C8" w:rsidRDefault="000B52C8" w:rsidP="000B52C8">
      <w:pPr>
        <w:ind w:left="567" w:hanging="567"/>
        <w:rPr>
          <w:sz w:val="20"/>
          <w:szCs w:val="20"/>
        </w:rPr>
      </w:pPr>
      <w:r w:rsidRPr="000B52C8">
        <w:rPr>
          <w:smallCaps/>
          <w:sz w:val="20"/>
          <w:szCs w:val="20"/>
        </w:rPr>
        <w:t>Wikipedia.org</w:t>
      </w:r>
      <w:r w:rsidRPr="000B52C8">
        <w:rPr>
          <w:sz w:val="20"/>
          <w:szCs w:val="20"/>
        </w:rPr>
        <w:t xml:space="preserve"> (2013): HDI-Weltkarte der Rangliste 2013. &lt;</w:t>
      </w:r>
      <w:hyperlink r:id="rId22" w:anchor="mediaviewer/File:2013_UN_Human_Development_Report_Quartiles.svg" w:history="1">
        <w:r w:rsidRPr="000B52C8">
          <w:rPr>
            <w:rStyle w:val="Hyperlink"/>
            <w:sz w:val="20"/>
            <w:szCs w:val="20"/>
          </w:rPr>
          <w:t>http://de.wikipedia.org/wiki/Human_Development_Index#mediaviewer/File:2013_UN_Human_Development_Report_Quartiles.svg</w:t>
        </w:r>
      </w:hyperlink>
      <w:r w:rsidRPr="000B52C8">
        <w:rPr>
          <w:sz w:val="20"/>
          <w:szCs w:val="20"/>
        </w:rPr>
        <w:t>&gt; (Zugriff: 2014-12-01).</w:t>
      </w:r>
    </w:p>
    <w:p w:rsidR="000B52C8" w:rsidRPr="00BC2929" w:rsidRDefault="000B52C8" w:rsidP="000B52C8">
      <w:pPr>
        <w:ind w:left="567" w:hanging="567"/>
        <w:rPr>
          <w:sz w:val="20"/>
          <w:szCs w:val="20"/>
          <w:lang w:val="en-GB"/>
        </w:rPr>
      </w:pPr>
      <w:r w:rsidRPr="000B52C8">
        <w:rPr>
          <w:smallCaps/>
          <w:sz w:val="20"/>
          <w:szCs w:val="20"/>
          <w:lang w:val="en-US"/>
        </w:rPr>
        <w:t>World Health Organization</w:t>
      </w:r>
      <w:r w:rsidRPr="000B52C8">
        <w:rPr>
          <w:sz w:val="20"/>
          <w:szCs w:val="20"/>
          <w:lang w:val="en-US"/>
        </w:rPr>
        <w:t xml:space="preserve"> (WHO) (2014): Global Health Observatory Data Repository. Life expectancy - Data by country. </w:t>
      </w:r>
      <w:r w:rsidRPr="00BC2929">
        <w:rPr>
          <w:sz w:val="20"/>
          <w:szCs w:val="20"/>
          <w:lang w:val="en-GB"/>
        </w:rPr>
        <w:t>&lt;</w:t>
      </w:r>
      <w:hyperlink r:id="rId23" w:history="1">
        <w:r w:rsidRPr="00BC2929">
          <w:rPr>
            <w:rStyle w:val="Hyperlink"/>
            <w:sz w:val="20"/>
            <w:szCs w:val="20"/>
            <w:lang w:val="en-GB"/>
          </w:rPr>
          <w:t>http://apps.who.int/gho/data/view.main.680?lang=en</w:t>
        </w:r>
      </w:hyperlink>
      <w:r w:rsidRPr="00BC2929">
        <w:rPr>
          <w:sz w:val="20"/>
          <w:szCs w:val="20"/>
          <w:lang w:val="en-GB"/>
        </w:rPr>
        <w:t>&gt; (</w:t>
      </w:r>
      <w:proofErr w:type="spellStart"/>
      <w:r w:rsidRPr="00BC2929">
        <w:rPr>
          <w:sz w:val="20"/>
          <w:szCs w:val="20"/>
          <w:lang w:val="en-GB"/>
        </w:rPr>
        <w:t>Zugriff</w:t>
      </w:r>
      <w:proofErr w:type="spellEnd"/>
      <w:r w:rsidRPr="00BC2929">
        <w:rPr>
          <w:sz w:val="20"/>
          <w:szCs w:val="20"/>
          <w:lang w:val="en-GB"/>
        </w:rPr>
        <w:t>: 2014-01-04).</w:t>
      </w:r>
    </w:p>
    <w:sectPr w:rsidR="000B52C8" w:rsidRPr="00BC2929" w:rsidSect="007A4665">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CE6" w:rsidRDefault="00DE0CE6" w:rsidP="004E473C">
      <w:r>
        <w:separator/>
      </w:r>
    </w:p>
  </w:endnote>
  <w:endnote w:type="continuationSeparator" w:id="0">
    <w:p w:rsidR="00DE0CE6" w:rsidRDefault="00DE0CE6" w:rsidP="004E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017542"/>
      <w:docPartObj>
        <w:docPartGallery w:val="Page Numbers (Bottom of Page)"/>
        <w:docPartUnique/>
      </w:docPartObj>
    </w:sdtPr>
    <w:sdtContent>
      <w:p w:rsidR="00BC2929" w:rsidRDefault="00BC2929">
        <w:pPr>
          <w:pStyle w:val="Fuzeile"/>
          <w:jc w:val="right"/>
        </w:pPr>
        <w:r>
          <w:fldChar w:fldCharType="begin"/>
        </w:r>
        <w:r>
          <w:instrText>PAGE   \* MERGEFORMAT</w:instrText>
        </w:r>
        <w:r>
          <w:fldChar w:fldCharType="separate"/>
        </w:r>
        <w:r>
          <w:rPr>
            <w:noProof/>
          </w:rPr>
          <w:t>1</w:t>
        </w:r>
        <w:r>
          <w:fldChar w:fldCharType="end"/>
        </w:r>
      </w:p>
    </w:sdtContent>
  </w:sdt>
  <w:p w:rsidR="00BC2929" w:rsidRDefault="00BC292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CE6" w:rsidRDefault="00DE0CE6" w:rsidP="004E473C">
      <w:r>
        <w:separator/>
      </w:r>
    </w:p>
  </w:footnote>
  <w:footnote w:type="continuationSeparator" w:id="0">
    <w:p w:rsidR="00DE0CE6" w:rsidRDefault="00DE0CE6" w:rsidP="004E4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73C" w:rsidRDefault="00C26F82">
    <w:pPr>
      <w:pStyle w:val="Kopfzeile"/>
      <w:rPr>
        <w:lang w:val="en-US"/>
      </w:rPr>
    </w:pPr>
    <w:r w:rsidRPr="00C26F82">
      <w:rPr>
        <w:lang w:val="en-US"/>
      </w:rPr>
      <w:t xml:space="preserve">Andreas </w:t>
    </w:r>
    <w:proofErr w:type="spellStart"/>
    <w:r w:rsidRPr="00C26F82">
      <w:rPr>
        <w:lang w:val="en-US"/>
      </w:rPr>
      <w:t>Hufnagl</w:t>
    </w:r>
    <w:proofErr w:type="spellEnd"/>
    <w:r w:rsidRPr="00C26F82">
      <w:rPr>
        <w:lang w:val="en-US"/>
      </w:rPr>
      <w:t xml:space="preserve"> (</w:t>
    </w:r>
    <w:hyperlink r:id="rId1" w:history="1">
      <w:r w:rsidRPr="00895ED3">
        <w:rPr>
          <w:rStyle w:val="Hyperlink"/>
          <w:lang w:val="en-US"/>
        </w:rPr>
        <w:t>hufnaglan@stud.sbg.ac.at</w:t>
      </w:r>
    </w:hyperlink>
    <w:r w:rsidRPr="00C26F82">
      <w:rPr>
        <w:lang w:val="en-US"/>
      </w:rPr>
      <w:t>)</w:t>
    </w:r>
    <w:r>
      <w:rPr>
        <w:lang w:val="en-US"/>
      </w:rPr>
      <w:tab/>
    </w:r>
    <w:r>
      <w:rPr>
        <w:lang w:val="en-US"/>
      </w:rPr>
      <w:tab/>
    </w:r>
    <w:proofErr w:type="spellStart"/>
    <w:r>
      <w:rPr>
        <w:lang w:val="en-US"/>
      </w:rPr>
      <w:t>WiSe</w:t>
    </w:r>
    <w:proofErr w:type="spellEnd"/>
    <w:r>
      <w:rPr>
        <w:lang w:val="en-US"/>
      </w:rPr>
      <w:t xml:space="preserve"> 2014/15</w:t>
    </w:r>
  </w:p>
  <w:p w:rsidR="00C26F82" w:rsidRPr="00C26F82" w:rsidRDefault="00C26F82">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D6A17"/>
    <w:multiLevelType w:val="hybridMultilevel"/>
    <w:tmpl w:val="8CFC0C3A"/>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
    <w:nsid w:val="249637E7"/>
    <w:multiLevelType w:val="hybridMultilevel"/>
    <w:tmpl w:val="8C926882"/>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
    <w:nsid w:val="520F3F12"/>
    <w:multiLevelType w:val="hybridMultilevel"/>
    <w:tmpl w:val="C80C106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3C"/>
    <w:rsid w:val="00041E1B"/>
    <w:rsid w:val="000806DA"/>
    <w:rsid w:val="000859D0"/>
    <w:rsid w:val="000948A0"/>
    <w:rsid w:val="000B52C8"/>
    <w:rsid w:val="000C3202"/>
    <w:rsid w:val="0010083B"/>
    <w:rsid w:val="00134E11"/>
    <w:rsid w:val="001575ED"/>
    <w:rsid w:val="00202502"/>
    <w:rsid w:val="00287EF5"/>
    <w:rsid w:val="002A06A2"/>
    <w:rsid w:val="002A1185"/>
    <w:rsid w:val="003208FD"/>
    <w:rsid w:val="00322F2F"/>
    <w:rsid w:val="00336E54"/>
    <w:rsid w:val="003532E7"/>
    <w:rsid w:val="00356A70"/>
    <w:rsid w:val="00397031"/>
    <w:rsid w:val="004E473C"/>
    <w:rsid w:val="00511DA9"/>
    <w:rsid w:val="00532EEE"/>
    <w:rsid w:val="005857E2"/>
    <w:rsid w:val="007A4665"/>
    <w:rsid w:val="007B74E3"/>
    <w:rsid w:val="007E6482"/>
    <w:rsid w:val="00811174"/>
    <w:rsid w:val="00882D02"/>
    <w:rsid w:val="008C0DC3"/>
    <w:rsid w:val="00916ABC"/>
    <w:rsid w:val="0092366E"/>
    <w:rsid w:val="009D3B17"/>
    <w:rsid w:val="009F7839"/>
    <w:rsid w:val="00A82271"/>
    <w:rsid w:val="00AC54DE"/>
    <w:rsid w:val="00AD51B7"/>
    <w:rsid w:val="00B20FD7"/>
    <w:rsid w:val="00B432EA"/>
    <w:rsid w:val="00B92D7F"/>
    <w:rsid w:val="00B96137"/>
    <w:rsid w:val="00BB6DC3"/>
    <w:rsid w:val="00BC2929"/>
    <w:rsid w:val="00BF2F2F"/>
    <w:rsid w:val="00C26F82"/>
    <w:rsid w:val="00DE0CE6"/>
    <w:rsid w:val="00E00046"/>
    <w:rsid w:val="00E263F3"/>
    <w:rsid w:val="00E31ECE"/>
    <w:rsid w:val="00E33230"/>
    <w:rsid w:val="00EF2E90"/>
    <w:rsid w:val="00EF5FA4"/>
    <w:rsid w:val="00F37C53"/>
    <w:rsid w:val="00F41A41"/>
    <w:rsid w:val="00F62391"/>
    <w:rsid w:val="00F75613"/>
    <w:rsid w:val="00FC7659"/>
    <w:rsid w:val="00FF7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7D993-5C57-4BB9-9E5E-F0E9CEA6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473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473C"/>
    <w:pPr>
      <w:tabs>
        <w:tab w:val="center" w:pos="4536"/>
        <w:tab w:val="right" w:pos="9072"/>
      </w:tabs>
    </w:pPr>
  </w:style>
  <w:style w:type="character" w:customStyle="1" w:styleId="KopfzeileZchn">
    <w:name w:val="Kopfzeile Zchn"/>
    <w:basedOn w:val="Absatz-Standardschriftart"/>
    <w:link w:val="Kopfzeile"/>
    <w:uiPriority w:val="99"/>
    <w:rsid w:val="004E473C"/>
  </w:style>
  <w:style w:type="paragraph" w:styleId="Fuzeile">
    <w:name w:val="footer"/>
    <w:basedOn w:val="Standard"/>
    <w:link w:val="FuzeileZchn"/>
    <w:uiPriority w:val="99"/>
    <w:unhideWhenUsed/>
    <w:rsid w:val="004E473C"/>
    <w:pPr>
      <w:tabs>
        <w:tab w:val="center" w:pos="4536"/>
        <w:tab w:val="right" w:pos="9072"/>
      </w:tabs>
    </w:pPr>
  </w:style>
  <w:style w:type="character" w:customStyle="1" w:styleId="FuzeileZchn">
    <w:name w:val="Fußzeile Zchn"/>
    <w:basedOn w:val="Absatz-Standardschriftart"/>
    <w:link w:val="Fuzeile"/>
    <w:uiPriority w:val="99"/>
    <w:rsid w:val="004E473C"/>
  </w:style>
  <w:style w:type="paragraph" w:styleId="Sprechblasentext">
    <w:name w:val="Balloon Text"/>
    <w:basedOn w:val="Standard"/>
    <w:link w:val="SprechblasentextZchn"/>
    <w:uiPriority w:val="99"/>
    <w:semiHidden/>
    <w:unhideWhenUsed/>
    <w:rsid w:val="004E47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473C"/>
    <w:rPr>
      <w:rFonts w:ascii="Tahoma" w:hAnsi="Tahoma" w:cs="Tahoma"/>
      <w:sz w:val="16"/>
      <w:szCs w:val="16"/>
    </w:rPr>
  </w:style>
  <w:style w:type="character" w:styleId="Hyperlink">
    <w:name w:val="Hyperlink"/>
    <w:basedOn w:val="Absatz-Standardschriftart"/>
    <w:uiPriority w:val="99"/>
    <w:unhideWhenUsed/>
    <w:rsid w:val="004E473C"/>
    <w:rPr>
      <w:color w:val="0000FF" w:themeColor="hyperlink"/>
      <w:u w:val="single"/>
    </w:rPr>
  </w:style>
  <w:style w:type="character" w:styleId="BesuchterHyperlink">
    <w:name w:val="FollowedHyperlink"/>
    <w:basedOn w:val="Absatz-Standardschriftart"/>
    <w:uiPriority w:val="99"/>
    <w:semiHidden/>
    <w:unhideWhenUsed/>
    <w:rsid w:val="004E473C"/>
    <w:rPr>
      <w:color w:val="800080" w:themeColor="followedHyperlink"/>
      <w:u w:val="single"/>
    </w:rPr>
  </w:style>
  <w:style w:type="paragraph" w:styleId="Listenabsatz">
    <w:name w:val="List Paragraph"/>
    <w:basedOn w:val="Standard"/>
    <w:uiPriority w:val="34"/>
    <w:qFormat/>
    <w:rsid w:val="00287EF5"/>
    <w:pPr>
      <w:ind w:left="720"/>
      <w:contextualSpacing/>
    </w:pPr>
  </w:style>
  <w:style w:type="table" w:styleId="Tabellenraster">
    <w:name w:val="Table Grid"/>
    <w:basedOn w:val="NormaleTabelle"/>
    <w:rsid w:val="00AC54DE"/>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data.uis.unesco.org/Index.aspx?DataSetCode=EDULIT_DS&amp;popupcustomise=true&amp;lang=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ata.worldbank.org/indicator/NY.GNP.PCAP.PP.CD" TargetMode="External"/><Relationship Id="rId7" Type="http://schemas.openxmlformats.org/officeDocument/2006/relationships/hyperlink" Target="mailto:hufnaglan@stud.sbg.ac.at" TargetMode="External"/><Relationship Id="rId12" Type="http://schemas.openxmlformats.org/officeDocument/2006/relationships/chart" Target="charts/chart1.xml"/><Relationship Id="rId17" Type="http://schemas.openxmlformats.org/officeDocument/2006/relationships/hyperlink" Target="http://www.theguardian.com/global-development/datablog/2010/nov/04/human-development-index-equality-matter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data.worldbank.org/indicator/SL.UEM.TOTL.ZS/count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apps.who.int/gho/data/view.main.680?lang=en" TargetMode="External"/><Relationship Id="rId10" Type="http://schemas.openxmlformats.org/officeDocument/2006/relationships/image" Target="media/image3.png"/><Relationship Id="rId19" Type="http://schemas.openxmlformats.org/officeDocument/2006/relationships/hyperlink" Target="http://data.worldbank.org/indicator/SE.ADT.LITR.Z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de.wikipedia.org/wiki/Human_Development_Inde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hufnaglan@stud.sbg.ac.a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Arbeitsblat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Arbeitsblat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Arbeitsblat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Arbeitsblat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Tabelle1!$B$1</c:f>
              <c:strCache>
                <c:ptCount val="1"/>
                <c:pt idx="0">
                  <c:v>Lebenserwartung in Jahren</c:v>
                </c:pt>
              </c:strCache>
            </c:strRef>
          </c:tx>
          <c:invertIfNegative val="0"/>
          <c:dPt>
            <c:idx val="1"/>
            <c:invertIfNegative val="0"/>
            <c:bubble3D val="0"/>
            <c:spPr>
              <a:solidFill>
                <a:schemeClr val="accent2"/>
              </a:solidFill>
            </c:spPr>
          </c:dPt>
          <c:dPt>
            <c:idx val="2"/>
            <c:invertIfNegative val="0"/>
            <c:bubble3D val="0"/>
            <c:spPr>
              <a:solidFill>
                <a:schemeClr val="accent3"/>
              </a:solidFill>
            </c:spPr>
          </c:dPt>
          <c:dPt>
            <c:idx val="3"/>
            <c:invertIfNegative val="0"/>
            <c:bubble3D val="0"/>
            <c:spPr>
              <a:solidFill>
                <a:schemeClr val="accent4"/>
              </a:solidFill>
            </c:spPr>
          </c:dPt>
          <c:dPt>
            <c:idx val="4"/>
            <c:invertIfNegative val="0"/>
            <c:bubble3D val="0"/>
            <c:spPr>
              <a:solidFill>
                <a:schemeClr val="accent5"/>
              </a:solidFill>
            </c:spPr>
          </c:dPt>
          <c:dPt>
            <c:idx val="5"/>
            <c:invertIfNegative val="0"/>
            <c:bubble3D val="0"/>
            <c:spPr>
              <a:solidFill>
                <a:schemeClr val="accent6"/>
              </a:solidFill>
            </c:spPr>
          </c:dPt>
          <c:dPt>
            <c:idx val="6"/>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Tabelle1!$A$2:$A$8</c:f>
              <c:strCache>
                <c:ptCount val="7"/>
                <c:pt idx="0">
                  <c:v>Afghanistan</c:v>
                </c:pt>
                <c:pt idx="1">
                  <c:v>Australien</c:v>
                </c:pt>
                <c:pt idx="2">
                  <c:v>Chile</c:v>
                </c:pt>
                <c:pt idx="3">
                  <c:v>Madagaskar</c:v>
                </c:pt>
                <c:pt idx="4">
                  <c:v>Nepal</c:v>
                </c:pt>
                <c:pt idx="5">
                  <c:v>Niederlande</c:v>
                </c:pt>
                <c:pt idx="6">
                  <c:v>Panama</c:v>
                </c:pt>
              </c:strCache>
            </c:strRef>
          </c:cat>
          <c:val>
            <c:numRef>
              <c:f>Tabelle1!$B$2:$B$8</c:f>
              <c:numCache>
                <c:formatCode>General</c:formatCode>
                <c:ptCount val="7"/>
                <c:pt idx="0">
                  <c:v>60</c:v>
                </c:pt>
                <c:pt idx="1">
                  <c:v>83</c:v>
                </c:pt>
                <c:pt idx="2">
                  <c:v>51</c:v>
                </c:pt>
                <c:pt idx="3">
                  <c:v>64</c:v>
                </c:pt>
                <c:pt idx="4">
                  <c:v>68</c:v>
                </c:pt>
                <c:pt idx="5">
                  <c:v>81</c:v>
                </c:pt>
                <c:pt idx="6">
                  <c:v>77</c:v>
                </c:pt>
              </c:numCache>
            </c:numRef>
          </c:val>
        </c:ser>
        <c:dLbls>
          <c:showLegendKey val="0"/>
          <c:showVal val="1"/>
          <c:showCatName val="0"/>
          <c:showSerName val="0"/>
          <c:showPercent val="0"/>
          <c:showBubbleSize val="0"/>
        </c:dLbls>
        <c:gapWidth val="150"/>
        <c:axId val="332381592"/>
        <c:axId val="332378848"/>
      </c:barChart>
      <c:catAx>
        <c:axId val="332381592"/>
        <c:scaling>
          <c:orientation val="minMax"/>
        </c:scaling>
        <c:delete val="0"/>
        <c:axPos val="b"/>
        <c:numFmt formatCode="General" sourceLinked="0"/>
        <c:majorTickMark val="none"/>
        <c:minorTickMark val="none"/>
        <c:tickLblPos val="nextTo"/>
        <c:crossAx val="332378848"/>
        <c:crosses val="autoZero"/>
        <c:auto val="1"/>
        <c:lblAlgn val="ctr"/>
        <c:lblOffset val="100"/>
        <c:noMultiLvlLbl val="0"/>
      </c:catAx>
      <c:valAx>
        <c:axId val="332378848"/>
        <c:scaling>
          <c:orientation val="minMax"/>
        </c:scaling>
        <c:delete val="0"/>
        <c:axPos val="l"/>
        <c:majorGridlines/>
        <c:numFmt formatCode="General" sourceLinked="1"/>
        <c:majorTickMark val="none"/>
        <c:minorTickMark val="none"/>
        <c:tickLblPos val="nextTo"/>
        <c:crossAx val="332381592"/>
        <c:crosses val="autoZero"/>
        <c:crossBetween val="between"/>
      </c:valAx>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Tabelle1!$B$1</c:f>
              <c:strCache>
                <c:ptCount val="1"/>
                <c:pt idx="0">
                  <c:v>tatsächliche Schulbildung in Jahren</c:v>
                </c:pt>
              </c:strCache>
            </c:strRef>
          </c:tx>
          <c:invertIfNegative val="0"/>
          <c:dPt>
            <c:idx val="1"/>
            <c:invertIfNegative val="0"/>
            <c:bubble3D val="0"/>
            <c:spPr>
              <a:solidFill>
                <a:schemeClr val="accent2"/>
              </a:solidFill>
            </c:spPr>
          </c:dPt>
          <c:dPt>
            <c:idx val="2"/>
            <c:invertIfNegative val="0"/>
            <c:bubble3D val="0"/>
            <c:spPr>
              <a:solidFill>
                <a:schemeClr val="accent3"/>
              </a:solidFill>
            </c:spPr>
          </c:dPt>
          <c:dPt>
            <c:idx val="3"/>
            <c:invertIfNegative val="0"/>
            <c:bubble3D val="0"/>
            <c:spPr>
              <a:solidFill>
                <a:schemeClr val="accent4"/>
              </a:solidFill>
            </c:spPr>
          </c:dPt>
          <c:dPt>
            <c:idx val="4"/>
            <c:invertIfNegative val="0"/>
            <c:bubble3D val="0"/>
            <c:spPr>
              <a:solidFill>
                <a:schemeClr val="accent5"/>
              </a:solidFill>
            </c:spPr>
          </c:dPt>
          <c:dPt>
            <c:idx val="5"/>
            <c:invertIfNegative val="0"/>
            <c:bubble3D val="0"/>
            <c:spPr>
              <a:solidFill>
                <a:schemeClr val="accent6"/>
              </a:solidFill>
            </c:spPr>
          </c:dPt>
          <c:dPt>
            <c:idx val="6"/>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Tabelle1!$A$2:$A$8</c:f>
              <c:strCache>
                <c:ptCount val="7"/>
                <c:pt idx="0">
                  <c:v>Afghanistan</c:v>
                </c:pt>
                <c:pt idx="1">
                  <c:v>Australien</c:v>
                </c:pt>
                <c:pt idx="2">
                  <c:v>Chile</c:v>
                </c:pt>
                <c:pt idx="3">
                  <c:v>Madagaskar</c:v>
                </c:pt>
                <c:pt idx="4">
                  <c:v>Nepal</c:v>
                </c:pt>
                <c:pt idx="5">
                  <c:v>Niederlande</c:v>
                </c:pt>
                <c:pt idx="6">
                  <c:v>Panama</c:v>
                </c:pt>
              </c:strCache>
            </c:strRef>
          </c:cat>
          <c:val>
            <c:numRef>
              <c:f>Tabelle1!$B$2:$B$8</c:f>
              <c:numCache>
                <c:formatCode>General</c:formatCode>
                <c:ptCount val="7"/>
                <c:pt idx="0">
                  <c:v>9.27</c:v>
                </c:pt>
                <c:pt idx="1">
                  <c:v>20.22</c:v>
                </c:pt>
                <c:pt idx="2">
                  <c:v>15.25</c:v>
                </c:pt>
                <c:pt idx="3">
                  <c:v>10.350000000000019</c:v>
                </c:pt>
                <c:pt idx="4">
                  <c:v>12.350000000000019</c:v>
                </c:pt>
                <c:pt idx="5">
                  <c:v>17.920000000000002</c:v>
                </c:pt>
                <c:pt idx="6">
                  <c:v>12.39</c:v>
                </c:pt>
              </c:numCache>
            </c:numRef>
          </c:val>
        </c:ser>
        <c:dLbls>
          <c:showLegendKey val="0"/>
          <c:showVal val="1"/>
          <c:showCatName val="0"/>
          <c:showSerName val="0"/>
          <c:showPercent val="0"/>
          <c:showBubbleSize val="0"/>
        </c:dLbls>
        <c:gapWidth val="150"/>
        <c:axId val="332380416"/>
        <c:axId val="332379632"/>
      </c:barChart>
      <c:catAx>
        <c:axId val="332380416"/>
        <c:scaling>
          <c:orientation val="minMax"/>
        </c:scaling>
        <c:delete val="0"/>
        <c:axPos val="b"/>
        <c:numFmt formatCode="General" sourceLinked="0"/>
        <c:majorTickMark val="out"/>
        <c:minorTickMark val="none"/>
        <c:tickLblPos val="nextTo"/>
        <c:crossAx val="332379632"/>
        <c:crosses val="autoZero"/>
        <c:auto val="1"/>
        <c:lblAlgn val="ctr"/>
        <c:lblOffset val="100"/>
        <c:noMultiLvlLbl val="0"/>
      </c:catAx>
      <c:valAx>
        <c:axId val="332379632"/>
        <c:scaling>
          <c:orientation val="minMax"/>
        </c:scaling>
        <c:delete val="0"/>
        <c:axPos val="l"/>
        <c:majorGridlines/>
        <c:numFmt formatCode="General" sourceLinked="1"/>
        <c:majorTickMark val="out"/>
        <c:minorTickMark val="none"/>
        <c:tickLblPos val="nextTo"/>
        <c:crossAx val="332380416"/>
        <c:crosses val="autoZero"/>
        <c:crossBetween val="between"/>
      </c:valAx>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Tabelle1!$B$1</c:f>
              <c:strCache>
                <c:ptCount val="1"/>
                <c:pt idx="0">
                  <c:v>BIP in US-$/Jahr</c:v>
                </c:pt>
              </c:strCache>
            </c:strRef>
          </c:tx>
          <c:spPr>
            <a:solidFill>
              <a:schemeClr val="accent2"/>
            </a:solidFill>
          </c:spPr>
          <c:invertIfNegative val="0"/>
          <c:dPt>
            <c:idx val="0"/>
            <c:invertIfNegative val="0"/>
            <c:bubble3D val="0"/>
            <c:spPr>
              <a:solidFill>
                <a:schemeClr val="accent1"/>
              </a:solidFill>
            </c:spPr>
          </c:dPt>
          <c:dPt>
            <c:idx val="2"/>
            <c:invertIfNegative val="0"/>
            <c:bubble3D val="0"/>
            <c:spPr>
              <a:solidFill>
                <a:schemeClr val="accent3"/>
              </a:solidFill>
            </c:spPr>
          </c:dPt>
          <c:dPt>
            <c:idx val="3"/>
            <c:invertIfNegative val="0"/>
            <c:bubble3D val="0"/>
            <c:spPr>
              <a:solidFill>
                <a:schemeClr val="accent4"/>
              </a:solidFill>
            </c:spPr>
          </c:dPt>
          <c:dPt>
            <c:idx val="4"/>
            <c:invertIfNegative val="0"/>
            <c:bubble3D val="0"/>
            <c:spPr>
              <a:solidFill>
                <a:schemeClr val="accent5"/>
              </a:solidFill>
            </c:spPr>
          </c:dPt>
          <c:dPt>
            <c:idx val="5"/>
            <c:invertIfNegative val="0"/>
            <c:bubble3D val="0"/>
            <c:spPr>
              <a:solidFill>
                <a:schemeClr val="accent6"/>
              </a:solidFill>
            </c:spPr>
          </c:dPt>
          <c:dPt>
            <c:idx val="6"/>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Tabelle1!$A$2:$A$8</c:f>
              <c:strCache>
                <c:ptCount val="7"/>
                <c:pt idx="0">
                  <c:v>Afghanistan</c:v>
                </c:pt>
                <c:pt idx="1">
                  <c:v>Australien</c:v>
                </c:pt>
                <c:pt idx="2">
                  <c:v>Chile</c:v>
                </c:pt>
                <c:pt idx="3">
                  <c:v>Madagaskar</c:v>
                </c:pt>
                <c:pt idx="4">
                  <c:v>Nepal</c:v>
                </c:pt>
                <c:pt idx="5">
                  <c:v>Niederlande</c:v>
                </c:pt>
                <c:pt idx="6">
                  <c:v>Panama</c:v>
                </c:pt>
              </c:strCache>
            </c:strRef>
          </c:cat>
          <c:val>
            <c:numRef>
              <c:f>Tabelle1!$B$2:$B$8</c:f>
              <c:numCache>
                <c:formatCode>#,##0</c:formatCode>
                <c:ptCount val="7"/>
                <c:pt idx="0">
                  <c:v>1960</c:v>
                </c:pt>
                <c:pt idx="1">
                  <c:v>42450</c:v>
                </c:pt>
                <c:pt idx="2">
                  <c:v>21030</c:v>
                </c:pt>
                <c:pt idx="3">
                  <c:v>1370</c:v>
                </c:pt>
                <c:pt idx="4">
                  <c:v>2260</c:v>
                </c:pt>
                <c:pt idx="5">
                  <c:v>46400</c:v>
                </c:pt>
                <c:pt idx="6">
                  <c:v>19300</c:v>
                </c:pt>
              </c:numCache>
            </c:numRef>
          </c:val>
        </c:ser>
        <c:dLbls>
          <c:showLegendKey val="0"/>
          <c:showVal val="1"/>
          <c:showCatName val="0"/>
          <c:showSerName val="0"/>
          <c:showPercent val="0"/>
          <c:showBubbleSize val="0"/>
        </c:dLbls>
        <c:gapWidth val="150"/>
        <c:axId val="332380808"/>
        <c:axId val="332379240"/>
      </c:barChart>
      <c:catAx>
        <c:axId val="332380808"/>
        <c:scaling>
          <c:orientation val="minMax"/>
        </c:scaling>
        <c:delete val="0"/>
        <c:axPos val="b"/>
        <c:numFmt formatCode="General" sourceLinked="0"/>
        <c:majorTickMark val="out"/>
        <c:minorTickMark val="none"/>
        <c:tickLblPos val="nextTo"/>
        <c:crossAx val="332379240"/>
        <c:crosses val="autoZero"/>
        <c:auto val="1"/>
        <c:lblAlgn val="ctr"/>
        <c:lblOffset val="100"/>
        <c:noMultiLvlLbl val="0"/>
      </c:catAx>
      <c:valAx>
        <c:axId val="332379240"/>
        <c:scaling>
          <c:orientation val="minMax"/>
        </c:scaling>
        <c:delete val="0"/>
        <c:axPos val="l"/>
        <c:majorGridlines/>
        <c:numFmt formatCode="#,##0" sourceLinked="1"/>
        <c:majorTickMark val="out"/>
        <c:minorTickMark val="none"/>
        <c:tickLblPos val="nextTo"/>
        <c:crossAx val="332380808"/>
        <c:crosses val="autoZero"/>
        <c:crossBetween val="between"/>
      </c:valAx>
    </c:plotArea>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Tabelle1!$B$1</c:f>
              <c:strCache>
                <c:ptCount val="1"/>
                <c:pt idx="0">
                  <c:v>Alphabethisierungsrate in %</c:v>
                </c:pt>
              </c:strCache>
            </c:strRef>
          </c:tx>
          <c:invertIfNegative val="0"/>
          <c:dPt>
            <c:idx val="1"/>
            <c:invertIfNegative val="0"/>
            <c:bubble3D val="0"/>
            <c:spPr>
              <a:solidFill>
                <a:schemeClr val="accent2"/>
              </a:solidFill>
            </c:spPr>
          </c:dPt>
          <c:dPt>
            <c:idx val="2"/>
            <c:invertIfNegative val="0"/>
            <c:bubble3D val="0"/>
            <c:spPr>
              <a:solidFill>
                <a:schemeClr val="accent3"/>
              </a:solidFill>
            </c:spPr>
          </c:dPt>
          <c:dPt>
            <c:idx val="3"/>
            <c:invertIfNegative val="0"/>
            <c:bubble3D val="0"/>
            <c:spPr>
              <a:solidFill>
                <a:schemeClr val="accent4"/>
              </a:solidFill>
            </c:spPr>
          </c:dPt>
          <c:dPt>
            <c:idx val="4"/>
            <c:invertIfNegative val="0"/>
            <c:bubble3D val="0"/>
            <c:spPr>
              <a:solidFill>
                <a:schemeClr val="accent5"/>
              </a:solidFill>
            </c:spPr>
          </c:dPt>
          <c:dPt>
            <c:idx val="5"/>
            <c:invertIfNegative val="0"/>
            <c:bubble3D val="0"/>
            <c:spPr>
              <a:solidFill>
                <a:schemeClr val="accent6"/>
              </a:solidFill>
            </c:spPr>
          </c:dPt>
          <c:dPt>
            <c:idx val="6"/>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Tabelle1!$A$2:$A$8</c:f>
              <c:strCache>
                <c:ptCount val="7"/>
                <c:pt idx="0">
                  <c:v>Afghanistan</c:v>
                </c:pt>
                <c:pt idx="1">
                  <c:v>Australien</c:v>
                </c:pt>
                <c:pt idx="2">
                  <c:v>Chile</c:v>
                </c:pt>
                <c:pt idx="3">
                  <c:v>Madagaskar</c:v>
                </c:pt>
                <c:pt idx="4">
                  <c:v>Nepal</c:v>
                </c:pt>
                <c:pt idx="5">
                  <c:v>Niederlande</c:v>
                </c:pt>
                <c:pt idx="6">
                  <c:v>Panama</c:v>
                </c:pt>
              </c:strCache>
            </c:strRef>
          </c:cat>
          <c:val>
            <c:numRef>
              <c:f>Tabelle1!$B$2:$B$8</c:f>
              <c:numCache>
                <c:formatCode>General</c:formatCode>
                <c:ptCount val="7"/>
                <c:pt idx="0">
                  <c:v>32</c:v>
                </c:pt>
                <c:pt idx="1">
                  <c:v>100</c:v>
                </c:pt>
                <c:pt idx="2">
                  <c:v>96.2</c:v>
                </c:pt>
                <c:pt idx="3">
                  <c:v>68.900000000000006</c:v>
                </c:pt>
                <c:pt idx="4">
                  <c:v>57</c:v>
                </c:pt>
                <c:pt idx="5">
                  <c:v>99</c:v>
                </c:pt>
                <c:pt idx="6">
                  <c:v>94</c:v>
                </c:pt>
              </c:numCache>
            </c:numRef>
          </c:val>
        </c:ser>
        <c:dLbls>
          <c:showLegendKey val="0"/>
          <c:showVal val="1"/>
          <c:showCatName val="0"/>
          <c:showSerName val="0"/>
          <c:showPercent val="0"/>
          <c:showBubbleSize val="0"/>
        </c:dLbls>
        <c:gapWidth val="150"/>
        <c:axId val="340444016"/>
        <c:axId val="340443624"/>
      </c:barChart>
      <c:catAx>
        <c:axId val="340444016"/>
        <c:scaling>
          <c:orientation val="minMax"/>
        </c:scaling>
        <c:delete val="0"/>
        <c:axPos val="b"/>
        <c:numFmt formatCode="General" sourceLinked="0"/>
        <c:majorTickMark val="out"/>
        <c:minorTickMark val="none"/>
        <c:tickLblPos val="nextTo"/>
        <c:crossAx val="340443624"/>
        <c:crosses val="autoZero"/>
        <c:auto val="1"/>
        <c:lblAlgn val="ctr"/>
        <c:lblOffset val="100"/>
        <c:noMultiLvlLbl val="0"/>
      </c:catAx>
      <c:valAx>
        <c:axId val="340443624"/>
        <c:scaling>
          <c:orientation val="minMax"/>
        </c:scaling>
        <c:delete val="0"/>
        <c:axPos val="l"/>
        <c:majorGridlines/>
        <c:numFmt formatCode="General" sourceLinked="1"/>
        <c:majorTickMark val="out"/>
        <c:minorTickMark val="none"/>
        <c:tickLblPos val="nextTo"/>
        <c:crossAx val="340444016"/>
        <c:crosses val="autoZero"/>
        <c:crossBetween val="between"/>
      </c:valAx>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Tabelle1!$B$1</c:f>
              <c:strCache>
                <c:ptCount val="1"/>
                <c:pt idx="0">
                  <c:v>Arbeitslosigkeit in %</c:v>
                </c:pt>
              </c:strCache>
            </c:strRef>
          </c:tx>
          <c:invertIfNegative val="0"/>
          <c:dPt>
            <c:idx val="1"/>
            <c:invertIfNegative val="0"/>
            <c:bubble3D val="0"/>
            <c:spPr>
              <a:solidFill>
                <a:schemeClr val="accent2"/>
              </a:solidFill>
            </c:spPr>
          </c:dPt>
          <c:dPt>
            <c:idx val="2"/>
            <c:invertIfNegative val="0"/>
            <c:bubble3D val="0"/>
            <c:spPr>
              <a:solidFill>
                <a:schemeClr val="accent3"/>
              </a:solidFill>
            </c:spPr>
          </c:dPt>
          <c:dPt>
            <c:idx val="3"/>
            <c:invertIfNegative val="0"/>
            <c:bubble3D val="0"/>
            <c:spPr>
              <a:solidFill>
                <a:schemeClr val="accent4"/>
              </a:solidFill>
            </c:spPr>
          </c:dPt>
          <c:dPt>
            <c:idx val="4"/>
            <c:invertIfNegative val="0"/>
            <c:bubble3D val="0"/>
            <c:spPr>
              <a:solidFill>
                <a:schemeClr val="accent5"/>
              </a:solidFill>
            </c:spPr>
          </c:dPt>
          <c:dPt>
            <c:idx val="5"/>
            <c:invertIfNegative val="0"/>
            <c:bubble3D val="0"/>
            <c:spPr>
              <a:solidFill>
                <a:schemeClr val="accent6"/>
              </a:solidFill>
            </c:spPr>
          </c:dPt>
          <c:dPt>
            <c:idx val="6"/>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Tabelle1!$A$2:$A$8</c:f>
              <c:strCache>
                <c:ptCount val="7"/>
                <c:pt idx="0">
                  <c:v>Afghanistan</c:v>
                </c:pt>
                <c:pt idx="1">
                  <c:v>Australien</c:v>
                </c:pt>
                <c:pt idx="2">
                  <c:v>Chile</c:v>
                </c:pt>
                <c:pt idx="3">
                  <c:v>Madagaskar</c:v>
                </c:pt>
                <c:pt idx="4">
                  <c:v>Nepal</c:v>
                </c:pt>
                <c:pt idx="5">
                  <c:v>Niederlande</c:v>
                </c:pt>
                <c:pt idx="6">
                  <c:v>Panama</c:v>
                </c:pt>
              </c:strCache>
            </c:strRef>
          </c:cat>
          <c:val>
            <c:numRef>
              <c:f>Tabelle1!$B$2:$B$8</c:f>
              <c:numCache>
                <c:formatCode>General</c:formatCode>
                <c:ptCount val="7"/>
                <c:pt idx="0">
                  <c:v>8</c:v>
                </c:pt>
                <c:pt idx="1">
                  <c:v>5.7</c:v>
                </c:pt>
                <c:pt idx="2">
                  <c:v>6</c:v>
                </c:pt>
                <c:pt idx="3">
                  <c:v>3.6</c:v>
                </c:pt>
                <c:pt idx="4">
                  <c:v>2.7</c:v>
                </c:pt>
                <c:pt idx="5">
                  <c:v>6.7</c:v>
                </c:pt>
                <c:pt idx="6">
                  <c:v>4.0999999999999996</c:v>
                </c:pt>
              </c:numCache>
            </c:numRef>
          </c:val>
        </c:ser>
        <c:dLbls>
          <c:showLegendKey val="0"/>
          <c:showVal val="1"/>
          <c:showCatName val="0"/>
          <c:showSerName val="0"/>
          <c:showPercent val="0"/>
          <c:showBubbleSize val="0"/>
        </c:dLbls>
        <c:gapWidth val="150"/>
        <c:axId val="162967400"/>
        <c:axId val="162967792"/>
      </c:barChart>
      <c:catAx>
        <c:axId val="162967400"/>
        <c:scaling>
          <c:orientation val="minMax"/>
        </c:scaling>
        <c:delete val="0"/>
        <c:axPos val="b"/>
        <c:numFmt formatCode="General" sourceLinked="0"/>
        <c:majorTickMark val="out"/>
        <c:minorTickMark val="none"/>
        <c:tickLblPos val="nextTo"/>
        <c:crossAx val="162967792"/>
        <c:crosses val="autoZero"/>
        <c:auto val="1"/>
        <c:lblAlgn val="ctr"/>
        <c:lblOffset val="100"/>
        <c:noMultiLvlLbl val="0"/>
      </c:catAx>
      <c:valAx>
        <c:axId val="162967792"/>
        <c:scaling>
          <c:orientation val="minMax"/>
        </c:scaling>
        <c:delete val="0"/>
        <c:axPos val="l"/>
        <c:majorGridlines/>
        <c:numFmt formatCode="General" sourceLinked="1"/>
        <c:majorTickMark val="out"/>
        <c:minorTickMark val="none"/>
        <c:tickLblPos val="nextTo"/>
        <c:crossAx val="162967400"/>
        <c:crosses val="autoZero"/>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789</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Hufnagl</dc:creator>
  <cp:lastModifiedBy>Alfons Koller</cp:lastModifiedBy>
  <cp:revision>2</cp:revision>
  <dcterms:created xsi:type="dcterms:W3CDTF">2015-04-08T15:05:00Z</dcterms:created>
  <dcterms:modified xsi:type="dcterms:W3CDTF">2015-04-08T15:05:00Z</dcterms:modified>
</cp:coreProperties>
</file>